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pPr>
      <w:bookmarkStart w:id="0" w:name="_Toc246216323"/>
      <w:r>
        <w:pict>
          <v:shape id="Picture 68" o:spid="_x0000_s1026" o:spt="75" type="#_x0000_t75" style="position:absolute;left:0pt;margin-left:-89.1pt;margin-top:-72.75pt;height:215.5pt;width:702pt;mso-wrap-distance-left:9pt;mso-wrap-distance-right:9pt;z-index:-251657216;mso-width-relative:page;mso-height-relative:page;" filled="f" o:preferrelative="t" stroked="f" coordsize="21600,21600" wrapcoords="-23 0 -23 21525 21600 21525 21600 0 -23 0">
            <v:path/>
            <v:fill on="f" focussize="0,0"/>
            <v:stroke on="f" joinstyle="miter"/>
            <v:imagedata r:id="rId17" o:title="模板-3"/>
            <o:lock v:ext="edit" aspectratio="t"/>
            <w10:wrap type="tight"/>
          </v:shape>
        </w:pict>
      </w:r>
    </w:p>
    <w:p>
      <w:pPr>
        <w:spacing w:before="634" w:beforeLines="200"/>
        <w:jc w:val="center"/>
        <w:rPr>
          <w:rFonts w:eastAsia="黑体"/>
          <w:b/>
          <w:sz w:val="52"/>
          <w:szCs w:val="22"/>
        </w:rPr>
      </w:pPr>
      <w:r>
        <w:rPr>
          <w:rFonts w:hint="eastAsia" w:eastAsia="黑体"/>
          <w:b/>
          <w:sz w:val="52"/>
          <w:szCs w:val="22"/>
        </w:rPr>
        <w:t>中国南方电网有限责任公司</w:t>
      </w:r>
    </w:p>
    <w:p>
      <w:pPr>
        <w:spacing w:before="634" w:beforeLines="200"/>
        <w:jc w:val="center"/>
        <w:rPr>
          <w:rFonts w:eastAsia="黑体"/>
          <w:b/>
          <w:sz w:val="52"/>
          <w:szCs w:val="22"/>
        </w:rPr>
      </w:pPr>
      <w:r>
        <w:rPr>
          <w:rFonts w:hint="eastAsia" w:eastAsia="黑体"/>
          <w:b/>
          <w:sz w:val="52"/>
          <w:szCs w:val="22"/>
        </w:rPr>
        <w:t>10kV冷缩型电缆附件</w:t>
      </w:r>
    </w:p>
    <w:p>
      <w:pPr>
        <w:spacing w:before="634" w:beforeLines="200"/>
        <w:jc w:val="center"/>
        <w:rPr>
          <w:rFonts w:eastAsia="黑体"/>
          <w:b/>
          <w:sz w:val="52"/>
          <w:szCs w:val="22"/>
        </w:rPr>
      </w:pPr>
      <w:r>
        <w:rPr>
          <w:rFonts w:eastAsia="黑体"/>
          <w:b/>
          <w:sz w:val="52"/>
          <w:szCs w:val="22"/>
        </w:rPr>
        <w:t>技术规范</w:t>
      </w:r>
      <w:r>
        <w:rPr>
          <w:rFonts w:hint="eastAsia" w:eastAsia="黑体"/>
          <w:b/>
          <w:sz w:val="52"/>
          <w:szCs w:val="22"/>
        </w:rPr>
        <w:t>书</w:t>
      </w:r>
      <w:r>
        <w:rPr>
          <w:rFonts w:eastAsia="黑体"/>
          <w:b/>
          <w:sz w:val="52"/>
          <w:szCs w:val="22"/>
        </w:rPr>
        <w:t>（通用部分）</w:t>
      </w:r>
    </w:p>
    <w:p>
      <w:pPr>
        <w:snapToGrid w:val="0"/>
        <w:spacing w:before="634" w:beforeLines="200"/>
        <w:ind w:firstLine="1970" w:firstLineChars="545"/>
        <w:jc w:val="left"/>
        <w:rPr>
          <w:rFonts w:eastAsia="黑体"/>
          <w:b/>
          <w:color w:val="000000"/>
          <w:sz w:val="36"/>
        </w:rPr>
      </w:pPr>
      <w:r>
        <w:rPr>
          <w:rFonts w:eastAsia="黑体"/>
          <w:b/>
          <w:color w:val="000000"/>
          <w:sz w:val="36"/>
        </w:rPr>
        <w:t>版本号：201</w:t>
      </w:r>
      <w:r>
        <w:rPr>
          <w:rFonts w:hint="eastAsia" w:eastAsia="黑体"/>
          <w:b/>
          <w:color w:val="000000"/>
          <w:sz w:val="36"/>
          <w:lang w:val="en-US" w:eastAsia="zh-CN"/>
        </w:rPr>
        <w:t>9</w:t>
      </w:r>
      <w:r>
        <w:rPr>
          <w:rFonts w:eastAsia="黑体"/>
          <w:b/>
          <w:color w:val="000000"/>
          <w:sz w:val="36"/>
        </w:rPr>
        <w:t>版V1.0</w:t>
      </w:r>
    </w:p>
    <w:p>
      <w:pPr>
        <w:snapToGrid w:val="0"/>
        <w:spacing w:before="634" w:beforeLines="200"/>
        <w:ind w:firstLine="1970" w:firstLineChars="545"/>
        <w:jc w:val="left"/>
        <w:rPr>
          <w:rFonts w:eastAsia="黑体"/>
          <w:b/>
          <w:color w:val="000000"/>
          <w:sz w:val="36"/>
        </w:rPr>
      </w:pPr>
      <w:r>
        <w:rPr>
          <w:rFonts w:eastAsia="黑体"/>
          <w:b/>
          <w:color w:val="000000"/>
          <w:sz w:val="36"/>
        </w:rPr>
        <w:t>编号：</w:t>
      </w:r>
    </w:p>
    <w:p>
      <w:pPr>
        <w:spacing w:line="360" w:lineRule="auto"/>
        <w:rPr>
          <w:rFonts w:eastAsia="黑体"/>
          <w:b/>
          <w:color w:val="000000"/>
          <w:sz w:val="36"/>
        </w:rPr>
      </w:pPr>
    </w:p>
    <w:p>
      <w:pPr>
        <w:spacing w:line="360" w:lineRule="auto"/>
        <w:rPr>
          <w:rFonts w:eastAsia="黑体"/>
          <w:b/>
          <w:color w:val="000000"/>
          <w:sz w:val="36"/>
        </w:rPr>
      </w:pPr>
    </w:p>
    <w:p>
      <w:pPr>
        <w:snapToGrid w:val="0"/>
        <w:spacing w:before="634" w:beforeLines="200"/>
        <w:jc w:val="center"/>
        <w:rPr>
          <w:rFonts w:eastAsia="黑体"/>
          <w:b/>
          <w:color w:val="000000"/>
          <w:spacing w:val="20"/>
          <w:w w:val="135"/>
          <w:sz w:val="30"/>
        </w:rPr>
      </w:pPr>
      <w:r>
        <w:rPr>
          <w:rFonts w:eastAsia="黑体"/>
          <w:b/>
          <w:color w:val="000000"/>
          <w:spacing w:val="20"/>
          <w:w w:val="135"/>
          <w:sz w:val="30"/>
        </w:rPr>
        <w:t>中国南方电网有限责任公司</w:t>
      </w:r>
    </w:p>
    <w:p>
      <w:pPr>
        <w:snapToGrid w:val="0"/>
        <w:spacing w:before="634" w:beforeLines="200"/>
        <w:jc w:val="center"/>
        <w:rPr>
          <w:rFonts w:eastAsia="黑体"/>
          <w:b/>
          <w:color w:val="000000"/>
          <w:spacing w:val="20"/>
          <w:w w:val="135"/>
          <w:sz w:val="30"/>
        </w:rPr>
        <w:sectPr>
          <w:headerReference r:id="rId5" w:type="first"/>
          <w:headerReference r:id="rId3" w:type="default"/>
          <w:footerReference r:id="rId6" w:type="default"/>
          <w:headerReference r:id="rId4" w:type="even"/>
          <w:footerReference r:id="rId7" w:type="even"/>
          <w:pgSz w:w="11907" w:h="16840"/>
          <w:pgMar w:top="1440" w:right="1797" w:bottom="1440" w:left="1797" w:header="720" w:footer="720" w:gutter="0"/>
          <w:pgNumType w:fmt="upperRoman" w:start="1"/>
          <w:cols w:space="720" w:num="1"/>
          <w:titlePg/>
          <w:docGrid w:type="lines" w:linePitch="317" w:charSpace="0"/>
        </w:sectPr>
      </w:pPr>
      <w:r>
        <w:rPr>
          <w:rFonts w:eastAsia="黑体"/>
          <w:b/>
          <w:color w:val="000000"/>
          <w:spacing w:val="20"/>
          <w:w w:val="135"/>
          <w:sz w:val="30"/>
        </w:rPr>
        <w:t>201</w:t>
      </w:r>
      <w:r>
        <w:rPr>
          <w:rFonts w:hint="eastAsia" w:eastAsia="黑体"/>
          <w:b/>
          <w:color w:val="000000"/>
          <w:spacing w:val="20"/>
          <w:w w:val="135"/>
          <w:sz w:val="30"/>
          <w:lang w:val="en-US" w:eastAsia="zh-CN"/>
        </w:rPr>
        <w:t>9</w:t>
      </w:r>
      <w:r>
        <w:rPr>
          <w:rFonts w:eastAsia="黑体"/>
          <w:b/>
          <w:color w:val="000000"/>
          <w:spacing w:val="20"/>
          <w:w w:val="135"/>
          <w:sz w:val="30"/>
        </w:rPr>
        <w:t>年</w:t>
      </w:r>
      <w:r>
        <w:rPr>
          <w:rFonts w:hint="eastAsia" w:eastAsia="黑体"/>
          <w:b/>
          <w:color w:val="000000"/>
          <w:spacing w:val="20"/>
          <w:w w:val="135"/>
          <w:sz w:val="30"/>
          <w:lang w:val="en-US" w:eastAsia="zh-CN"/>
        </w:rPr>
        <w:t>10</w:t>
      </w:r>
      <w:r>
        <w:rPr>
          <w:rFonts w:eastAsia="黑体"/>
          <w:b/>
          <w:color w:val="000000"/>
          <w:spacing w:val="20"/>
          <w:w w:val="135"/>
          <w:sz w:val="30"/>
        </w:rPr>
        <w:t>月</w:t>
      </w:r>
    </w:p>
    <w:p>
      <w:pPr>
        <w:spacing w:before="326" w:beforeLines="100" w:line="560" w:lineRule="exact"/>
        <w:ind w:left="850"/>
        <w:jc w:val="center"/>
        <w:rPr>
          <w:rFonts w:ascii="Arial" w:hAnsi="Arial"/>
          <w:bCs/>
          <w:sz w:val="44"/>
          <w:szCs w:val="44"/>
        </w:rPr>
      </w:pPr>
      <w:r>
        <w:rPr>
          <w:rFonts w:hint="eastAsia" w:ascii="方正小标宋_GBK" w:hAnsi="方正小标宋_GBK" w:eastAsia="方正小标宋_GBK" w:cs="方正小标宋_GBK"/>
          <w:bCs/>
          <w:sz w:val="44"/>
          <w:szCs w:val="44"/>
        </w:rPr>
        <w:t>知识产权声明</w:t>
      </w:r>
    </w:p>
    <w:p>
      <w:pPr>
        <w:spacing w:line="560" w:lineRule="exact"/>
        <w:ind w:left="851"/>
        <w:jc w:val="center"/>
        <w:rPr>
          <w:rFonts w:ascii="Arial" w:hAnsi="Arial"/>
          <w:b/>
          <w:sz w:val="32"/>
          <w:szCs w:val="32"/>
        </w:rPr>
      </w:pPr>
    </w:p>
    <w:p>
      <w:pPr>
        <w:spacing w:line="560" w:lineRule="exact"/>
        <w:ind w:left="85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南方电网公司拥有本作品的知识产权，未经南方电网公司书面许可，任何单位和个人不得擅自</w:t>
      </w:r>
      <w:r>
        <w:rPr>
          <w:rFonts w:hint="eastAsia" w:ascii="仿宋_GB2312" w:hAnsi="仿宋_GB2312" w:eastAsia="仿宋_GB2312" w:cs="仿宋_GB2312"/>
          <w:color w:val="333333"/>
          <w:sz w:val="32"/>
          <w:szCs w:val="32"/>
        </w:rPr>
        <w:t>使用（包括但不限于复制、发行、转载、通过信息网络传播等）</w:t>
      </w:r>
      <w:r>
        <w:rPr>
          <w:rFonts w:hint="eastAsia" w:ascii="仿宋_GB2312" w:hAnsi="仿宋_GB2312" w:eastAsia="仿宋_GB2312" w:cs="仿宋_GB2312"/>
          <w:sz w:val="32"/>
          <w:szCs w:val="32"/>
        </w:rPr>
        <w:t>，否则，南方电网公司将依法追究法律责任。</w:t>
      </w:r>
    </w:p>
    <w:p>
      <w:pPr>
        <w:spacing w:line="560" w:lineRule="exact"/>
        <w:ind w:left="850"/>
        <w:rPr>
          <w:rFonts w:ascii="Arial" w:hAnsi="Arial"/>
          <w:sz w:val="28"/>
          <w:szCs w:val="28"/>
        </w:rPr>
      </w:pPr>
    </w:p>
    <w:p>
      <w:pPr>
        <w:spacing w:line="560" w:lineRule="exact"/>
        <w:ind w:left="851" w:firstLine="560"/>
        <w:rPr>
          <w:rFonts w:ascii="Arial" w:hAnsi="Arial"/>
          <w:sz w:val="28"/>
          <w:szCs w:val="28"/>
        </w:rPr>
      </w:pPr>
    </w:p>
    <w:p>
      <w:pPr>
        <w:spacing w:line="560" w:lineRule="exact"/>
        <w:ind w:left="851"/>
        <w:jc w:val="center"/>
        <w:rPr>
          <w:rFonts w:ascii="Trebuchet MS" w:hAnsi="Trebuchet MS" w:cs="Trebuchet MS"/>
          <w:sz w:val="44"/>
          <w:szCs w:val="44"/>
        </w:rPr>
      </w:pPr>
      <w:r>
        <w:rPr>
          <w:rFonts w:ascii="Trebuchet MS" w:hAnsi="Trebuchet MS" w:cs="Trebuchet MS"/>
          <w:sz w:val="44"/>
          <w:szCs w:val="44"/>
        </w:rPr>
        <w:t>Intellectual Property Rights Statement</w:t>
      </w:r>
    </w:p>
    <w:p>
      <w:pPr>
        <w:spacing w:line="560" w:lineRule="exact"/>
        <w:ind w:left="851" w:firstLine="640"/>
        <w:rPr>
          <w:rFonts w:ascii="Arial" w:hAnsi="Arial"/>
          <w:sz w:val="32"/>
          <w:szCs w:val="32"/>
        </w:rPr>
      </w:pPr>
    </w:p>
    <w:p>
      <w:pPr>
        <w:spacing w:line="560" w:lineRule="exact"/>
        <w:ind w:left="851" w:firstLine="640"/>
        <w:rPr>
          <w:sz w:val="32"/>
          <w:szCs w:val="32"/>
        </w:rPr>
      </w:pPr>
      <w:r>
        <w:rPr>
          <w:sz w:val="32"/>
          <w:szCs w:val="32"/>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spacing w:line="360" w:lineRule="auto"/>
        <w:jc w:val="center"/>
        <w:rPr>
          <w:rFonts w:eastAsia="黑体"/>
          <w:color w:val="000000"/>
          <w:sz w:val="32"/>
          <w:szCs w:val="28"/>
        </w:rPr>
        <w:sectPr>
          <w:headerReference r:id="rId10" w:type="first"/>
          <w:footerReference r:id="rId13" w:type="first"/>
          <w:headerReference r:id="rId8" w:type="default"/>
          <w:footerReference r:id="rId11" w:type="default"/>
          <w:headerReference r:id="rId9" w:type="even"/>
          <w:footerReference r:id="rId12" w:type="even"/>
          <w:pgSz w:w="11907" w:h="16840"/>
          <w:pgMar w:top="1440" w:right="1797" w:bottom="1440" w:left="1797" w:header="720" w:footer="720" w:gutter="0"/>
          <w:pgNumType w:fmt="upperRoman" w:start="1"/>
          <w:cols w:space="720" w:num="1"/>
          <w:titlePg/>
          <w:docGrid w:type="lines" w:linePitch="326" w:charSpace="0"/>
        </w:sectPr>
      </w:pPr>
    </w:p>
    <w:p>
      <w:pPr>
        <w:spacing w:line="360" w:lineRule="auto"/>
        <w:jc w:val="center"/>
        <w:rPr>
          <w:rFonts w:eastAsia="黑体"/>
          <w:color w:val="000000"/>
          <w:sz w:val="32"/>
          <w:szCs w:val="28"/>
        </w:rPr>
      </w:pPr>
      <w:r>
        <w:rPr>
          <w:rFonts w:eastAsia="黑体"/>
          <w:color w:val="000000"/>
          <w:sz w:val="32"/>
          <w:szCs w:val="28"/>
        </w:rPr>
        <w:t>本规范对应的专用技术规范目录</w:t>
      </w:r>
    </w:p>
    <w:tbl>
      <w:tblPr>
        <w:tblStyle w:val="38"/>
        <w:tblW w:w="8931"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3867"/>
        <w:gridCol w:w="396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pacing w:line="360" w:lineRule="auto"/>
              <w:jc w:val="center"/>
              <w:rPr>
                <w:rFonts w:ascii="宋体" w:hAnsi="宋体"/>
                <w:color w:val="000000"/>
                <w:szCs w:val="21"/>
              </w:rPr>
            </w:pPr>
            <w:r>
              <w:rPr>
                <w:rFonts w:ascii="宋体" w:hAnsi="宋体"/>
                <w:color w:val="000000"/>
                <w:szCs w:val="21"/>
              </w:rPr>
              <w:t>序号</w:t>
            </w:r>
          </w:p>
        </w:tc>
        <w:tc>
          <w:tcPr>
            <w:tcW w:w="3867" w:type="dxa"/>
            <w:vAlign w:val="center"/>
          </w:tcPr>
          <w:p>
            <w:pPr>
              <w:spacing w:line="360" w:lineRule="auto"/>
              <w:jc w:val="center"/>
              <w:rPr>
                <w:rFonts w:ascii="宋体" w:hAnsi="宋体"/>
                <w:color w:val="000000"/>
                <w:szCs w:val="21"/>
              </w:rPr>
            </w:pPr>
            <w:r>
              <w:rPr>
                <w:rFonts w:ascii="宋体" w:hAnsi="宋体"/>
                <w:color w:val="000000"/>
                <w:szCs w:val="21"/>
              </w:rPr>
              <w:t>名称</w:t>
            </w:r>
          </w:p>
        </w:tc>
        <w:tc>
          <w:tcPr>
            <w:tcW w:w="3963" w:type="dxa"/>
            <w:vAlign w:val="center"/>
          </w:tcPr>
          <w:p>
            <w:pPr>
              <w:spacing w:line="360" w:lineRule="auto"/>
              <w:jc w:val="center"/>
              <w:rPr>
                <w:rFonts w:ascii="宋体" w:hAnsi="宋体"/>
                <w:color w:val="000000"/>
                <w:szCs w:val="21"/>
              </w:rPr>
            </w:pPr>
            <w:r>
              <w:rPr>
                <w:rFonts w:hint="eastAsia" w:ascii="宋体" w:hAnsi="宋体"/>
                <w:color w:val="000000"/>
                <w:szCs w:val="21"/>
              </w:rPr>
              <w:t>品类优化清单对应型号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pacing w:line="360" w:lineRule="auto"/>
              <w:jc w:val="center"/>
              <w:rPr>
                <w:rFonts w:ascii="宋体" w:hAnsi="宋体"/>
                <w:color w:val="000000"/>
                <w:szCs w:val="21"/>
              </w:rPr>
            </w:pPr>
            <w:r>
              <w:rPr>
                <w:rFonts w:ascii="宋体" w:hAnsi="宋体"/>
                <w:color w:val="000000"/>
                <w:szCs w:val="21"/>
              </w:rPr>
              <w:t>1</w:t>
            </w:r>
          </w:p>
        </w:tc>
        <w:tc>
          <w:tcPr>
            <w:tcW w:w="3867" w:type="dxa"/>
            <w:vAlign w:val="center"/>
          </w:tcPr>
          <w:p>
            <w:pPr>
              <w:spacing w:line="360" w:lineRule="auto"/>
              <w:jc w:val="center"/>
              <w:rPr>
                <w:rFonts w:ascii="宋体" w:hAnsi="宋体"/>
                <w:color w:val="000000"/>
                <w:szCs w:val="21"/>
              </w:rPr>
            </w:pPr>
            <w:r>
              <w:rPr>
                <w:rFonts w:hint="eastAsia" w:ascii="宋体" w:hAnsi="宋体"/>
                <w:color w:val="000000"/>
                <w:szCs w:val="21"/>
              </w:rPr>
              <w:t>10kV冷缩型电缆附件</w:t>
            </w:r>
            <w:r>
              <w:rPr>
                <w:rFonts w:ascii="宋体" w:hAnsi="宋体"/>
                <w:color w:val="000000"/>
                <w:szCs w:val="21"/>
              </w:rPr>
              <w:t>技术规范</w:t>
            </w:r>
            <w:r>
              <w:rPr>
                <w:rFonts w:hint="eastAsia" w:ascii="宋体" w:hAnsi="宋体"/>
                <w:color w:val="000000"/>
                <w:szCs w:val="21"/>
              </w:rPr>
              <w:t>书</w:t>
            </w:r>
            <w:r>
              <w:rPr>
                <w:rFonts w:ascii="宋体" w:hAnsi="宋体"/>
                <w:color w:val="000000"/>
                <w:szCs w:val="21"/>
              </w:rPr>
              <w:t>（</w:t>
            </w:r>
            <w:r>
              <w:rPr>
                <w:rFonts w:hint="eastAsia" w:ascii="宋体" w:hAnsi="宋体"/>
                <w:color w:val="000000"/>
                <w:szCs w:val="21"/>
              </w:rPr>
              <w:t>专</w:t>
            </w:r>
            <w:r>
              <w:rPr>
                <w:rFonts w:ascii="宋体" w:hAnsi="宋体"/>
                <w:color w:val="000000"/>
                <w:szCs w:val="21"/>
              </w:rPr>
              <w:t>用部分）</w:t>
            </w:r>
          </w:p>
        </w:tc>
        <w:tc>
          <w:tcPr>
            <w:tcW w:w="3963" w:type="dxa"/>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10kV冷缩中间头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3×70mm2</w:t>
            </w:r>
          </w:p>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rPr>
              <w:t>10kV冷缩中间头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3×120mm2</w:t>
            </w:r>
          </w:p>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rPr>
              <w:t>10kV冷缩中间头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3×240mm2</w:t>
            </w:r>
          </w:p>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rPr>
              <w:t>10kV冷缩中间头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3×300mm2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10kV冷缩中间头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3×400mm2</w:t>
            </w:r>
          </w:p>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rPr>
              <w:t>10kV冷缩中间头</w:t>
            </w:r>
            <w:r>
              <w:rPr>
                <w:rFonts w:hint="eastAsia" w:ascii="宋体" w:hAnsi="宋体" w:cs="宋体"/>
                <w:kern w:val="0"/>
                <w:sz w:val="18"/>
                <w:szCs w:val="18"/>
                <w:highlight w:val="none"/>
                <w:lang w:val="en-US" w:eastAsia="zh-CN"/>
              </w:rPr>
              <w:t>-1</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5</w:t>
            </w:r>
            <w:r>
              <w:rPr>
                <w:rFonts w:hint="eastAsia" w:ascii="宋体" w:hAnsi="宋体" w:cs="宋体"/>
                <w:kern w:val="0"/>
                <w:sz w:val="18"/>
                <w:szCs w:val="18"/>
                <w:highlight w:val="none"/>
              </w:rPr>
              <w:t>00mm2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10kV全冷缩户内终端头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3×70mm2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10kV全冷缩户内终端头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3×120mm2</w:t>
            </w:r>
          </w:p>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rPr>
              <w:t>10kV全冷缩户内终端头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3×240mm2</w:t>
            </w:r>
          </w:p>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rPr>
              <w:t>10kV全冷缩户内终端头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3×300mm2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10kV全冷缩户内终端头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3×400mm2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10kV全冷缩户外终端头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3×70mm2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10kV全冷缩户外终端头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3×120mm2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10kV全冷缩户外终端头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w:t>
            </w:r>
            <w:r>
              <w:rPr>
                <w:rFonts w:hint="eastAsia" w:ascii="宋体" w:hAnsi="宋体" w:cs="宋体"/>
                <w:kern w:val="0"/>
                <w:sz w:val="18"/>
                <w:szCs w:val="18"/>
                <w:highlight w:val="none"/>
                <w:lang w:val="en-US" w:eastAsia="zh-CN"/>
              </w:rPr>
              <w:t>24</w:t>
            </w:r>
            <w:r>
              <w:rPr>
                <w:rFonts w:hint="eastAsia" w:ascii="宋体" w:hAnsi="宋体" w:cs="宋体"/>
                <w:kern w:val="0"/>
                <w:sz w:val="18"/>
                <w:szCs w:val="18"/>
                <w:highlight w:val="none"/>
              </w:rPr>
              <w:t>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10kV全冷缩户外终端头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3×300mm2</w:t>
            </w:r>
          </w:p>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10kV全冷缩户外终端头</w:t>
            </w:r>
            <w:r>
              <w:rPr>
                <w:rFonts w:hint="eastAsia" w:ascii="宋体" w:hAnsi="宋体" w:cs="宋体"/>
                <w:kern w:val="0"/>
                <w:sz w:val="18"/>
                <w:szCs w:val="18"/>
                <w:highlight w:val="none"/>
                <w:lang w:val="en-US" w:eastAsia="zh-CN"/>
              </w:rPr>
              <w:t>-</w:t>
            </w:r>
            <w:r>
              <w:rPr>
                <w:rFonts w:hint="eastAsia" w:ascii="宋体" w:hAnsi="宋体" w:cs="宋体"/>
                <w:kern w:val="0"/>
                <w:sz w:val="18"/>
                <w:szCs w:val="18"/>
                <w:highlight w:val="none"/>
              </w:rPr>
              <w:t>3×400mm2</w:t>
            </w:r>
          </w:p>
          <w:p>
            <w:pPr>
              <w:spacing w:line="240" w:lineRule="auto"/>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10kV全冷缩户内终端头</w:t>
            </w:r>
            <w:r>
              <w:rPr>
                <w:rFonts w:hint="eastAsia" w:ascii="宋体" w:hAnsi="宋体" w:cs="宋体"/>
                <w:kern w:val="0"/>
                <w:sz w:val="18"/>
                <w:szCs w:val="18"/>
                <w:highlight w:val="none"/>
                <w:lang w:val="en-US" w:eastAsia="zh-CN"/>
              </w:rPr>
              <w:t>-1</w:t>
            </w:r>
            <w:r>
              <w:rPr>
                <w:rFonts w:hint="eastAsia" w:ascii="宋体" w:hAnsi="宋体" w:cs="宋体"/>
                <w:kern w:val="0"/>
                <w:sz w:val="18"/>
                <w:szCs w:val="18"/>
                <w:highlight w:val="none"/>
              </w:rPr>
              <w:t>×120mm2</w:t>
            </w:r>
          </w:p>
          <w:p>
            <w:pPr>
              <w:spacing w:line="240" w:lineRule="auto"/>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10kV全冷缩户内终端头</w:t>
            </w:r>
            <w:r>
              <w:rPr>
                <w:rFonts w:hint="eastAsia" w:ascii="宋体" w:hAnsi="宋体" w:cs="宋体"/>
                <w:kern w:val="0"/>
                <w:sz w:val="18"/>
                <w:szCs w:val="18"/>
                <w:highlight w:val="none"/>
                <w:lang w:val="en-US" w:eastAsia="zh-CN"/>
              </w:rPr>
              <w:t>-1</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50</w:t>
            </w:r>
            <w:r>
              <w:rPr>
                <w:rFonts w:hint="eastAsia" w:ascii="宋体" w:hAnsi="宋体" w:cs="宋体"/>
                <w:kern w:val="0"/>
                <w:sz w:val="18"/>
                <w:szCs w:val="18"/>
                <w:highlight w:val="none"/>
              </w:rPr>
              <w:t>0mm2</w:t>
            </w:r>
          </w:p>
          <w:p>
            <w:pPr>
              <w:spacing w:line="240" w:lineRule="auto"/>
              <w:jc w:val="center"/>
              <w:rPr>
                <w:rFonts w:hint="eastAsia" w:ascii="宋体" w:hAnsi="宋体" w:cs="宋体"/>
                <w:kern w:val="0"/>
                <w:sz w:val="18"/>
                <w:szCs w:val="18"/>
                <w:highlight w:val="none"/>
              </w:rPr>
            </w:pPr>
            <w:r>
              <w:rPr>
                <w:rFonts w:hint="eastAsia" w:ascii="宋体" w:hAnsi="宋体" w:cs="宋体"/>
                <w:kern w:val="0"/>
                <w:sz w:val="18"/>
                <w:szCs w:val="18"/>
                <w:highlight w:val="none"/>
              </w:rPr>
              <w:t>10kV全冷缩户</w:t>
            </w:r>
            <w:r>
              <w:rPr>
                <w:rFonts w:hint="eastAsia" w:ascii="宋体" w:hAnsi="宋体" w:cs="宋体"/>
                <w:kern w:val="0"/>
                <w:sz w:val="18"/>
                <w:szCs w:val="18"/>
                <w:highlight w:val="none"/>
                <w:lang w:val="en-US" w:eastAsia="zh-CN"/>
              </w:rPr>
              <w:t>外</w:t>
            </w:r>
            <w:r>
              <w:rPr>
                <w:rFonts w:hint="eastAsia" w:ascii="宋体" w:hAnsi="宋体" w:cs="宋体"/>
                <w:kern w:val="0"/>
                <w:sz w:val="18"/>
                <w:szCs w:val="18"/>
                <w:highlight w:val="none"/>
              </w:rPr>
              <w:t>终端头</w:t>
            </w:r>
            <w:r>
              <w:rPr>
                <w:rFonts w:hint="eastAsia" w:ascii="宋体" w:hAnsi="宋体" w:cs="宋体"/>
                <w:kern w:val="0"/>
                <w:sz w:val="18"/>
                <w:szCs w:val="18"/>
                <w:highlight w:val="none"/>
                <w:lang w:val="en-US" w:eastAsia="zh-CN"/>
              </w:rPr>
              <w:t>-1</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50</w:t>
            </w:r>
            <w:r>
              <w:rPr>
                <w:rFonts w:hint="eastAsia" w:ascii="宋体" w:hAnsi="宋体" w:cs="宋体"/>
                <w:kern w:val="0"/>
                <w:sz w:val="18"/>
                <w:szCs w:val="18"/>
                <w:highlight w:val="none"/>
              </w:rPr>
              <w:t>0mm2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pacing w:line="360" w:lineRule="auto"/>
              <w:jc w:val="center"/>
              <w:rPr>
                <w:rFonts w:ascii="宋体" w:hAnsi="宋体"/>
                <w:color w:val="000000"/>
                <w:szCs w:val="21"/>
              </w:rPr>
            </w:pPr>
          </w:p>
        </w:tc>
        <w:tc>
          <w:tcPr>
            <w:tcW w:w="3867" w:type="dxa"/>
            <w:vAlign w:val="center"/>
          </w:tcPr>
          <w:p>
            <w:pPr>
              <w:spacing w:line="360" w:lineRule="auto"/>
              <w:jc w:val="center"/>
              <w:rPr>
                <w:rFonts w:ascii="宋体" w:hAnsi="宋体"/>
                <w:color w:val="000000"/>
                <w:szCs w:val="21"/>
              </w:rPr>
            </w:pPr>
          </w:p>
        </w:tc>
        <w:tc>
          <w:tcPr>
            <w:tcW w:w="3963"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pacing w:line="360" w:lineRule="auto"/>
              <w:jc w:val="center"/>
              <w:rPr>
                <w:rFonts w:ascii="宋体" w:hAnsi="宋体"/>
                <w:color w:val="000000"/>
                <w:szCs w:val="21"/>
              </w:rPr>
            </w:pPr>
          </w:p>
        </w:tc>
        <w:tc>
          <w:tcPr>
            <w:tcW w:w="3867" w:type="dxa"/>
            <w:vAlign w:val="center"/>
          </w:tcPr>
          <w:p>
            <w:pPr>
              <w:spacing w:line="360" w:lineRule="auto"/>
              <w:jc w:val="center"/>
              <w:rPr>
                <w:rFonts w:ascii="宋体" w:hAnsi="宋体"/>
                <w:color w:val="000000"/>
                <w:szCs w:val="21"/>
              </w:rPr>
            </w:pPr>
          </w:p>
        </w:tc>
        <w:tc>
          <w:tcPr>
            <w:tcW w:w="3963"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pacing w:line="360" w:lineRule="auto"/>
              <w:jc w:val="center"/>
              <w:rPr>
                <w:rFonts w:ascii="宋体" w:hAnsi="宋体"/>
                <w:color w:val="000000"/>
                <w:szCs w:val="21"/>
              </w:rPr>
            </w:pPr>
          </w:p>
        </w:tc>
        <w:tc>
          <w:tcPr>
            <w:tcW w:w="3867" w:type="dxa"/>
            <w:vAlign w:val="center"/>
          </w:tcPr>
          <w:p>
            <w:pPr>
              <w:spacing w:line="360" w:lineRule="auto"/>
              <w:jc w:val="center"/>
              <w:rPr>
                <w:rFonts w:ascii="宋体" w:hAnsi="宋体"/>
                <w:color w:val="000000"/>
                <w:szCs w:val="21"/>
              </w:rPr>
            </w:pPr>
          </w:p>
        </w:tc>
        <w:tc>
          <w:tcPr>
            <w:tcW w:w="3963"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pacing w:line="360" w:lineRule="auto"/>
              <w:jc w:val="center"/>
              <w:rPr>
                <w:rFonts w:ascii="宋体" w:hAnsi="宋体"/>
                <w:color w:val="000000"/>
                <w:szCs w:val="21"/>
              </w:rPr>
            </w:pPr>
          </w:p>
        </w:tc>
        <w:tc>
          <w:tcPr>
            <w:tcW w:w="3867" w:type="dxa"/>
            <w:vAlign w:val="center"/>
          </w:tcPr>
          <w:p>
            <w:pPr>
              <w:spacing w:line="360" w:lineRule="auto"/>
              <w:jc w:val="center"/>
              <w:rPr>
                <w:rFonts w:ascii="宋体" w:hAnsi="宋体"/>
                <w:color w:val="000000"/>
                <w:szCs w:val="21"/>
              </w:rPr>
            </w:pPr>
          </w:p>
        </w:tc>
        <w:tc>
          <w:tcPr>
            <w:tcW w:w="3963" w:type="dxa"/>
            <w:vAlign w:val="center"/>
          </w:tcPr>
          <w:p>
            <w:pPr>
              <w:spacing w:line="360" w:lineRule="auto"/>
              <w:jc w:val="center"/>
              <w:rPr>
                <w:rFonts w:ascii="宋体" w:hAnsi="宋体"/>
                <w:color w:val="000000"/>
                <w:szCs w:val="21"/>
              </w:rPr>
            </w:pPr>
          </w:p>
        </w:tc>
      </w:tr>
    </w:tbl>
    <w:p>
      <w:pPr>
        <w:snapToGrid w:val="0"/>
        <w:spacing w:before="652" w:beforeLines="200"/>
        <w:jc w:val="center"/>
        <w:rPr>
          <w:rFonts w:eastAsia="黑体"/>
          <w:b/>
          <w:szCs w:val="28"/>
        </w:rPr>
        <w:sectPr>
          <w:pgSz w:w="11907" w:h="16840"/>
          <w:pgMar w:top="1440" w:right="1797" w:bottom="1440" w:left="1797" w:header="720" w:footer="720" w:gutter="0"/>
          <w:pgNumType w:fmt="upperRoman" w:start="1"/>
          <w:cols w:space="720" w:num="1"/>
          <w:titlePg/>
          <w:docGrid w:type="lines" w:linePitch="326" w:charSpace="0"/>
        </w:sectPr>
      </w:pPr>
    </w:p>
    <w:p>
      <w:pPr>
        <w:pStyle w:val="71"/>
        <w:adjustRightInd w:val="0"/>
        <w:spacing w:before="640" w:after="560" w:line="480" w:lineRule="exact"/>
        <w:ind w:firstLine="0" w:firstLineChars="0"/>
        <w:jc w:val="center"/>
        <w:rPr>
          <w:rFonts w:ascii="Times New Roman" w:hAnsi="Times New Roman" w:eastAsia="黑体"/>
          <w:sz w:val="32"/>
          <w:szCs w:val="44"/>
        </w:rPr>
      </w:pPr>
      <w:r>
        <w:rPr>
          <w:rFonts w:hint="eastAsia" w:ascii="Times New Roman" w:hAnsi="Times New Roman" w:eastAsia="黑体"/>
          <w:sz w:val="32"/>
          <w:szCs w:val="44"/>
        </w:rPr>
        <w:t>目</w:t>
      </w:r>
      <w:r>
        <w:rPr>
          <w:rFonts w:ascii="Times New Roman" w:hAnsi="Times New Roman" w:eastAsia="黑体"/>
          <w:sz w:val="32"/>
          <w:szCs w:val="44"/>
        </w:rPr>
        <w:t xml:space="preserve">  </w:t>
      </w:r>
      <w:r>
        <w:rPr>
          <w:rFonts w:hint="eastAsia" w:ascii="Times New Roman" w:hAnsi="Times New Roman" w:eastAsia="黑体"/>
          <w:sz w:val="32"/>
          <w:szCs w:val="44"/>
        </w:rPr>
        <w:t>录</w:t>
      </w:r>
    </w:p>
    <w:p>
      <w:pPr>
        <w:pStyle w:val="26"/>
        <w:tabs>
          <w:tab w:val="right" w:leader="dot" w:pos="9298"/>
        </w:tabs>
      </w:pPr>
      <w:r>
        <w:rPr>
          <w:sz w:val="40"/>
          <w:szCs w:val="40"/>
        </w:rPr>
        <w:fldChar w:fldCharType="begin"/>
      </w:r>
      <w:r>
        <w:rPr>
          <w:sz w:val="40"/>
          <w:szCs w:val="40"/>
        </w:rPr>
        <w:instrText xml:space="preserve"> TOC \o "1-2" \h \z \u </w:instrText>
      </w:r>
      <w:r>
        <w:rPr>
          <w:sz w:val="40"/>
          <w:szCs w:val="40"/>
        </w:rPr>
        <w:fldChar w:fldCharType="separate"/>
      </w:r>
      <w:r>
        <w:rPr>
          <w:szCs w:val="40"/>
        </w:rPr>
        <w:fldChar w:fldCharType="begin"/>
      </w:r>
      <w:r>
        <w:rPr>
          <w:szCs w:val="40"/>
        </w:rPr>
        <w:instrText xml:space="preserve"> HYPERLINK \l _Toc29376 </w:instrText>
      </w:r>
      <w:r>
        <w:rPr>
          <w:szCs w:val="40"/>
        </w:rPr>
        <w:fldChar w:fldCharType="separate"/>
      </w:r>
      <w:r>
        <w:rPr>
          <w:rFonts w:hint="eastAsia" w:ascii="Times New Roman" w:cs="Times New Roman"/>
        </w:rPr>
        <w:t xml:space="preserve">1 </w:t>
      </w:r>
      <w:r>
        <w:rPr>
          <w:rFonts w:ascii="Times New Roman" w:cs="Times New Roman"/>
        </w:rPr>
        <w:t>总则</w:t>
      </w:r>
      <w:r>
        <w:tab/>
      </w:r>
      <w:r>
        <w:fldChar w:fldCharType="begin"/>
      </w:r>
      <w:r>
        <w:instrText xml:space="preserve"> PAGEREF _Toc29376 </w:instrText>
      </w:r>
      <w:r>
        <w:fldChar w:fldCharType="separate"/>
      </w:r>
      <w:r>
        <w:t>1</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_Toc11314 </w:instrText>
      </w:r>
      <w:r>
        <w:rPr>
          <w:szCs w:val="40"/>
        </w:rPr>
        <w:fldChar w:fldCharType="separate"/>
      </w:r>
      <w:r>
        <w:rPr>
          <w:rFonts w:hint="eastAsia" w:ascii="Times New Roman" w:cs="Times New Roman"/>
        </w:rPr>
        <w:t>2 工作范围</w:t>
      </w:r>
      <w:r>
        <w:tab/>
      </w:r>
      <w:r>
        <w:fldChar w:fldCharType="begin"/>
      </w:r>
      <w:r>
        <w:instrText xml:space="preserve"> PAGEREF _Toc11314 </w:instrText>
      </w:r>
      <w:r>
        <w:fldChar w:fldCharType="separate"/>
      </w:r>
      <w:r>
        <w:t>2</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_Toc2969 </w:instrText>
      </w:r>
      <w:r>
        <w:rPr>
          <w:szCs w:val="40"/>
        </w:rPr>
        <w:fldChar w:fldCharType="separate"/>
      </w:r>
      <w:r>
        <w:rPr>
          <w:rFonts w:ascii="Times New Roman" w:cs="Times New Roman"/>
        </w:rPr>
        <w:t>2.1 工程概况</w:t>
      </w:r>
      <w:r>
        <w:tab/>
      </w:r>
      <w:r>
        <w:fldChar w:fldCharType="begin"/>
      </w:r>
      <w:r>
        <w:instrText xml:space="preserve"> PAGEREF _Toc2969 </w:instrText>
      </w:r>
      <w:r>
        <w:fldChar w:fldCharType="separate"/>
      </w:r>
      <w:r>
        <w:t>2</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_Toc14937 </w:instrText>
      </w:r>
      <w:r>
        <w:rPr>
          <w:szCs w:val="40"/>
        </w:rPr>
        <w:fldChar w:fldCharType="separate"/>
      </w:r>
      <w:r>
        <w:rPr>
          <w:rFonts w:ascii="Times New Roman" w:cs="Times New Roman"/>
        </w:rPr>
        <w:t>2.2 范围和界限</w:t>
      </w:r>
      <w:r>
        <w:tab/>
      </w:r>
      <w:r>
        <w:fldChar w:fldCharType="begin"/>
      </w:r>
      <w:r>
        <w:instrText xml:space="preserve"> PAGEREF _Toc14937 </w:instrText>
      </w:r>
      <w:r>
        <w:fldChar w:fldCharType="separate"/>
      </w:r>
      <w:r>
        <w:t>2</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_Toc13995 </w:instrText>
      </w:r>
      <w:r>
        <w:rPr>
          <w:szCs w:val="40"/>
        </w:rPr>
        <w:fldChar w:fldCharType="separate"/>
      </w:r>
      <w:r>
        <w:rPr>
          <w:rFonts w:ascii="Times New Roman" w:cs="Times New Roman"/>
        </w:rPr>
        <w:t>2.3 服务范围</w:t>
      </w:r>
      <w:r>
        <w:tab/>
      </w:r>
      <w:r>
        <w:fldChar w:fldCharType="begin"/>
      </w:r>
      <w:r>
        <w:instrText xml:space="preserve"> PAGEREF _Toc13995 </w:instrText>
      </w:r>
      <w:r>
        <w:fldChar w:fldCharType="separate"/>
      </w:r>
      <w:r>
        <w:t>2</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_Toc6580 </w:instrText>
      </w:r>
      <w:r>
        <w:rPr>
          <w:szCs w:val="40"/>
        </w:rPr>
        <w:fldChar w:fldCharType="separate"/>
      </w:r>
      <w:r>
        <w:rPr>
          <w:rFonts w:hint="eastAsia" w:ascii="Times New Roman" w:cs="Times New Roman"/>
        </w:rPr>
        <w:t xml:space="preserve">3 </w:t>
      </w:r>
      <w:r>
        <w:rPr>
          <w:rFonts w:ascii="Times New Roman" w:cs="Times New Roman"/>
        </w:rPr>
        <w:t>应遵循的主要标准</w:t>
      </w:r>
      <w:r>
        <w:tab/>
      </w:r>
      <w:r>
        <w:fldChar w:fldCharType="begin"/>
      </w:r>
      <w:r>
        <w:instrText xml:space="preserve"> PAGEREF _Toc6580 </w:instrText>
      </w:r>
      <w:r>
        <w:fldChar w:fldCharType="separate"/>
      </w:r>
      <w:r>
        <w:t>3</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_Toc21390 </w:instrText>
      </w:r>
      <w:r>
        <w:rPr>
          <w:szCs w:val="40"/>
        </w:rPr>
        <w:fldChar w:fldCharType="separate"/>
      </w:r>
      <w:r>
        <w:rPr>
          <w:rFonts w:hint="eastAsia" w:ascii="Times New Roman" w:cs="Times New Roman"/>
        </w:rPr>
        <w:t>4 使用条件</w:t>
      </w:r>
      <w:r>
        <w:tab/>
      </w:r>
      <w:r>
        <w:fldChar w:fldCharType="begin"/>
      </w:r>
      <w:r>
        <w:instrText xml:space="preserve"> PAGEREF _Toc21390 </w:instrText>
      </w:r>
      <w:r>
        <w:fldChar w:fldCharType="separate"/>
      </w:r>
      <w:r>
        <w:t>4</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_Toc31822 </w:instrText>
      </w:r>
      <w:r>
        <w:rPr>
          <w:szCs w:val="40"/>
        </w:rPr>
        <w:fldChar w:fldCharType="separate"/>
      </w:r>
      <w:r>
        <w:rPr>
          <w:rFonts w:ascii="Times New Roman" w:cs="Times New Roman"/>
        </w:rPr>
        <w:t>4.1</w:t>
      </w:r>
      <w:r>
        <w:rPr>
          <w:rFonts w:hint="eastAsia" w:ascii="Times New Roman" w:cs="Times New Roman"/>
        </w:rPr>
        <w:t xml:space="preserve"> 正常使用条件</w:t>
      </w:r>
      <w:r>
        <w:tab/>
      </w:r>
      <w:r>
        <w:fldChar w:fldCharType="begin"/>
      </w:r>
      <w:r>
        <w:instrText xml:space="preserve"> PAGEREF _Toc31822 </w:instrText>
      </w:r>
      <w:r>
        <w:fldChar w:fldCharType="separate"/>
      </w:r>
      <w:r>
        <w:t>4</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_Toc16790 </w:instrText>
      </w:r>
      <w:r>
        <w:rPr>
          <w:szCs w:val="40"/>
        </w:rPr>
        <w:fldChar w:fldCharType="separate"/>
      </w:r>
      <w:r>
        <w:rPr>
          <w:rFonts w:ascii="Times New Roman" w:cs="Times New Roman"/>
        </w:rPr>
        <w:t>4.2</w:t>
      </w:r>
      <w:r>
        <w:rPr>
          <w:rFonts w:hint="eastAsia" w:ascii="Times New Roman" w:cs="Times New Roman"/>
        </w:rPr>
        <w:t xml:space="preserve"> </w:t>
      </w:r>
      <w:r>
        <w:rPr>
          <w:rFonts w:ascii="Times New Roman" w:cs="Times New Roman"/>
        </w:rPr>
        <w:t>特殊使用条件要求</w:t>
      </w:r>
      <w:r>
        <w:tab/>
      </w:r>
      <w:r>
        <w:fldChar w:fldCharType="begin"/>
      </w:r>
      <w:r>
        <w:instrText xml:space="preserve"> PAGEREF _Toc16790 </w:instrText>
      </w:r>
      <w:r>
        <w:fldChar w:fldCharType="separate"/>
      </w:r>
      <w:r>
        <w:t>4</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_Toc11226 </w:instrText>
      </w:r>
      <w:r>
        <w:rPr>
          <w:szCs w:val="40"/>
        </w:rPr>
        <w:fldChar w:fldCharType="separate"/>
      </w:r>
      <w:r>
        <w:rPr>
          <w:rFonts w:ascii="Times New Roman" w:cs="Times New Roman"/>
        </w:rPr>
        <w:t xml:space="preserve">4.3 </w:t>
      </w:r>
      <w:r>
        <w:rPr>
          <w:rFonts w:hint="eastAsia" w:ascii="Times New Roman" w:cs="Times New Roman"/>
        </w:rPr>
        <w:t>系统条件要求</w:t>
      </w:r>
      <w:r>
        <w:tab/>
      </w:r>
      <w:r>
        <w:fldChar w:fldCharType="begin"/>
      </w:r>
      <w:r>
        <w:instrText xml:space="preserve"> PAGEREF _Toc11226 </w:instrText>
      </w:r>
      <w:r>
        <w:fldChar w:fldCharType="separate"/>
      </w:r>
      <w:r>
        <w:t>5</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_Toc5286 </w:instrText>
      </w:r>
      <w:r>
        <w:rPr>
          <w:szCs w:val="40"/>
        </w:rPr>
        <w:fldChar w:fldCharType="separate"/>
      </w:r>
      <w:r>
        <w:rPr>
          <w:rFonts w:hint="eastAsia" w:ascii="Times New Roman" w:cs="Times New Roman"/>
        </w:rPr>
        <w:t>5 技术要求</w:t>
      </w:r>
      <w:r>
        <w:tab/>
      </w:r>
      <w:r>
        <w:fldChar w:fldCharType="begin"/>
      </w:r>
      <w:r>
        <w:instrText xml:space="preserve"> PAGEREF _Toc5286 </w:instrText>
      </w:r>
      <w:r>
        <w:fldChar w:fldCharType="separate"/>
      </w:r>
      <w:r>
        <w:t>5</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_Toc8613 </w:instrText>
      </w:r>
      <w:r>
        <w:rPr>
          <w:szCs w:val="40"/>
        </w:rPr>
        <w:fldChar w:fldCharType="separate"/>
      </w:r>
      <w:r>
        <w:rPr>
          <w:rFonts w:ascii="Times New Roman" w:cs="Times New Roman"/>
        </w:rPr>
        <w:t xml:space="preserve">5.1 </w:t>
      </w:r>
      <w:r>
        <w:rPr>
          <w:rFonts w:hint="eastAsia" w:ascii="Times New Roman" w:cs="Times New Roman"/>
        </w:rPr>
        <w:t>基本参数（参数见附录</w:t>
      </w:r>
      <w:r>
        <w:rPr>
          <w:rFonts w:ascii="Times New Roman" w:cs="Times New Roman"/>
        </w:rPr>
        <w:t>A-F）</w:t>
      </w:r>
      <w:r>
        <w:tab/>
      </w:r>
      <w:r>
        <w:fldChar w:fldCharType="begin"/>
      </w:r>
      <w:r>
        <w:instrText xml:space="preserve"> PAGEREF _Toc8613 </w:instrText>
      </w:r>
      <w:r>
        <w:fldChar w:fldCharType="separate"/>
      </w:r>
      <w:r>
        <w:t>5</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_Toc10736 </w:instrText>
      </w:r>
      <w:r>
        <w:rPr>
          <w:szCs w:val="40"/>
        </w:rPr>
        <w:fldChar w:fldCharType="separate"/>
      </w:r>
      <w:r>
        <w:rPr>
          <w:rFonts w:ascii="Times New Roman" w:cs="Times New Roman"/>
        </w:rPr>
        <w:t xml:space="preserve">5.2 </w:t>
      </w:r>
      <w:r>
        <w:rPr>
          <w:rFonts w:hint="eastAsia" w:ascii="Times New Roman" w:cs="Times New Roman"/>
        </w:rPr>
        <w:t>设计和结构要求</w:t>
      </w:r>
      <w:r>
        <w:tab/>
      </w:r>
      <w:r>
        <w:fldChar w:fldCharType="begin"/>
      </w:r>
      <w:r>
        <w:instrText xml:space="preserve"> PAGEREF _Toc10736 </w:instrText>
      </w:r>
      <w:r>
        <w:fldChar w:fldCharType="separate"/>
      </w:r>
      <w:r>
        <w:t>5</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_Toc13030 </w:instrText>
      </w:r>
      <w:r>
        <w:rPr>
          <w:szCs w:val="40"/>
        </w:rPr>
        <w:fldChar w:fldCharType="separate"/>
      </w:r>
      <w:r>
        <w:rPr>
          <w:rFonts w:hint="eastAsia" w:ascii="Times New Roman" w:cs="Times New Roman"/>
        </w:rPr>
        <w:t>6 试验</w:t>
      </w:r>
      <w:r>
        <w:tab/>
      </w:r>
      <w:r>
        <w:fldChar w:fldCharType="begin"/>
      </w:r>
      <w:r>
        <w:instrText xml:space="preserve"> PAGEREF _Toc13030 </w:instrText>
      </w:r>
      <w:r>
        <w:fldChar w:fldCharType="separate"/>
      </w:r>
      <w:r>
        <w:t>10</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_Toc25454 </w:instrText>
      </w:r>
      <w:r>
        <w:rPr>
          <w:szCs w:val="40"/>
        </w:rPr>
        <w:fldChar w:fldCharType="separate"/>
      </w:r>
      <w:r>
        <w:rPr>
          <w:rFonts w:ascii="Times New Roman" w:cs="Times New Roman"/>
        </w:rPr>
        <w:t>6.1</w:t>
      </w:r>
      <w:r>
        <w:rPr>
          <w:rFonts w:hint="eastAsia" w:ascii="Times New Roman" w:cs="Times New Roman"/>
        </w:rPr>
        <w:t xml:space="preserve"> 试验项目</w:t>
      </w:r>
      <w:r>
        <w:rPr>
          <w:rFonts w:ascii="Times New Roman" w:cs="Times New Roman"/>
        </w:rPr>
        <w:t>要求</w:t>
      </w:r>
      <w:r>
        <w:tab/>
      </w:r>
      <w:r>
        <w:fldChar w:fldCharType="begin"/>
      </w:r>
      <w:r>
        <w:instrText xml:space="preserve"> PAGEREF _Toc25454 </w:instrText>
      </w:r>
      <w:r>
        <w:fldChar w:fldCharType="separate"/>
      </w:r>
      <w:r>
        <w:t>10</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_Toc7369 </w:instrText>
      </w:r>
      <w:r>
        <w:rPr>
          <w:szCs w:val="40"/>
        </w:rPr>
        <w:fldChar w:fldCharType="separate"/>
      </w:r>
      <w:r>
        <w:rPr>
          <w:rFonts w:ascii="Times New Roman" w:cs="Times New Roman"/>
        </w:rPr>
        <w:t>6.1.1 电缆终端</w:t>
      </w:r>
      <w:r>
        <w:tab/>
      </w:r>
      <w:r>
        <w:fldChar w:fldCharType="begin"/>
      </w:r>
      <w:r>
        <w:instrText xml:space="preserve"> PAGEREF _Toc7369 </w:instrText>
      </w:r>
      <w:r>
        <w:fldChar w:fldCharType="separate"/>
      </w:r>
      <w:r>
        <w:t>11</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_Toc18510 </w:instrText>
      </w:r>
      <w:r>
        <w:rPr>
          <w:szCs w:val="40"/>
        </w:rPr>
        <w:fldChar w:fldCharType="separate"/>
      </w:r>
      <w:r>
        <w:rPr>
          <w:rFonts w:ascii="Times New Roman" w:cs="Times New Roman"/>
        </w:rPr>
        <w:t>6.2</w:t>
      </w:r>
      <w:r>
        <w:rPr>
          <w:rFonts w:hint="eastAsia" w:ascii="Times New Roman" w:cs="Times New Roman"/>
        </w:rPr>
        <w:t xml:space="preserve"> 试验方法和要求</w:t>
      </w:r>
      <w:r>
        <w:tab/>
      </w:r>
      <w:r>
        <w:fldChar w:fldCharType="begin"/>
      </w:r>
      <w:r>
        <w:instrText xml:space="preserve"> PAGEREF _Toc18510 </w:instrText>
      </w:r>
      <w:r>
        <w:fldChar w:fldCharType="separate"/>
      </w:r>
      <w:r>
        <w:t>17</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_Toc21935 </w:instrText>
      </w:r>
      <w:r>
        <w:rPr>
          <w:szCs w:val="40"/>
        </w:rPr>
        <w:fldChar w:fldCharType="separate"/>
      </w:r>
      <w:r>
        <w:rPr>
          <w:rFonts w:hint="eastAsia" w:ascii="Times New Roman" w:cs="Times New Roman"/>
        </w:rPr>
        <w:t>7 产品对环境的影响</w:t>
      </w:r>
      <w:r>
        <w:tab/>
      </w:r>
      <w:r>
        <w:fldChar w:fldCharType="begin"/>
      </w:r>
      <w:r>
        <w:instrText xml:space="preserve"> PAGEREF _Toc21935 </w:instrText>
      </w:r>
      <w:r>
        <w:fldChar w:fldCharType="separate"/>
      </w:r>
      <w:r>
        <w:t>20</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_Toc31152 </w:instrText>
      </w:r>
      <w:r>
        <w:rPr>
          <w:szCs w:val="40"/>
        </w:rPr>
        <w:fldChar w:fldCharType="separate"/>
      </w:r>
      <w:r>
        <w:rPr>
          <w:rFonts w:hint="eastAsia" w:ascii="Times New Roman" w:cs="Times New Roman"/>
        </w:rPr>
        <w:t>8 企业</w:t>
      </w:r>
      <w:r>
        <w:rPr>
          <w:rFonts w:ascii="Times New Roman" w:cs="Times New Roman"/>
        </w:rPr>
        <w:t>VI标识</w:t>
      </w:r>
      <w:r>
        <w:tab/>
      </w:r>
      <w:r>
        <w:fldChar w:fldCharType="begin"/>
      </w:r>
      <w:r>
        <w:instrText xml:space="preserve"> PAGEREF _Toc31152 </w:instrText>
      </w:r>
      <w:r>
        <w:fldChar w:fldCharType="separate"/>
      </w:r>
      <w:r>
        <w:t>20</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_Toc30061 </w:instrText>
      </w:r>
      <w:r>
        <w:rPr>
          <w:szCs w:val="40"/>
        </w:rPr>
        <w:fldChar w:fldCharType="separate"/>
      </w:r>
      <w:r>
        <w:rPr>
          <w:rFonts w:hint="eastAsia" w:ascii="Times New Roman" w:cs="Times New Roman"/>
        </w:rPr>
        <w:t xml:space="preserve">9 </w:t>
      </w:r>
      <w:r>
        <w:rPr>
          <w:rFonts w:ascii="Times New Roman" w:cs="Times New Roman"/>
        </w:rPr>
        <w:t>技术文件要求</w:t>
      </w:r>
      <w:r>
        <w:tab/>
      </w:r>
      <w:r>
        <w:fldChar w:fldCharType="begin"/>
      </w:r>
      <w:r>
        <w:instrText xml:space="preserve"> PAGEREF _Toc30061 </w:instrText>
      </w:r>
      <w:r>
        <w:fldChar w:fldCharType="separate"/>
      </w:r>
      <w:r>
        <w:t>20</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_Toc9832 </w:instrText>
      </w:r>
      <w:r>
        <w:rPr>
          <w:szCs w:val="40"/>
        </w:rPr>
        <w:fldChar w:fldCharType="separate"/>
      </w:r>
      <w:r>
        <w:rPr>
          <w:rFonts w:ascii="Times New Roman" w:cs="Times New Roman"/>
        </w:rPr>
        <w:t>9.1一般要求</w:t>
      </w:r>
      <w:r>
        <w:tab/>
      </w:r>
      <w:r>
        <w:fldChar w:fldCharType="begin"/>
      </w:r>
      <w:r>
        <w:instrText xml:space="preserve"> PAGEREF _Toc9832 </w:instrText>
      </w:r>
      <w:r>
        <w:fldChar w:fldCharType="separate"/>
      </w:r>
      <w:r>
        <w:t>20</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_Toc21655 </w:instrText>
      </w:r>
      <w:r>
        <w:rPr>
          <w:szCs w:val="40"/>
        </w:rPr>
        <w:fldChar w:fldCharType="separate"/>
      </w:r>
      <w:r>
        <w:rPr>
          <w:rFonts w:ascii="Times New Roman" w:cs="Times New Roman"/>
        </w:rPr>
        <w:t>9.2 资料文件</w:t>
      </w:r>
      <w:r>
        <w:tab/>
      </w:r>
      <w:r>
        <w:fldChar w:fldCharType="begin"/>
      </w:r>
      <w:r>
        <w:instrText xml:space="preserve"> PAGEREF _Toc21655 </w:instrText>
      </w:r>
      <w:r>
        <w:fldChar w:fldCharType="separate"/>
      </w:r>
      <w:r>
        <w:t>21</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_Toc15768 </w:instrText>
      </w:r>
      <w:r>
        <w:rPr>
          <w:szCs w:val="40"/>
        </w:rPr>
        <w:fldChar w:fldCharType="separate"/>
      </w:r>
      <w:r>
        <w:rPr>
          <w:rFonts w:hint="eastAsia" w:ascii="Times New Roman" w:cs="Times New Roman"/>
        </w:rPr>
        <w:t>9.3 技术服务</w:t>
      </w:r>
      <w:r>
        <w:tab/>
      </w:r>
      <w:r>
        <w:fldChar w:fldCharType="begin"/>
      </w:r>
      <w:r>
        <w:instrText xml:space="preserve"> PAGEREF _Toc15768 </w:instrText>
      </w:r>
      <w:r>
        <w:fldChar w:fldCharType="separate"/>
      </w:r>
      <w:r>
        <w:t>21</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_Toc17180 </w:instrText>
      </w:r>
      <w:r>
        <w:rPr>
          <w:szCs w:val="40"/>
        </w:rPr>
        <w:fldChar w:fldCharType="separate"/>
      </w:r>
      <w:r>
        <w:rPr>
          <w:rFonts w:ascii="Times New Roman" w:cs="Times New Roman"/>
        </w:rPr>
        <w:t>9.</w:t>
      </w:r>
      <w:r>
        <w:rPr>
          <w:rFonts w:hint="eastAsia" w:ascii="Times New Roman" w:cs="Times New Roman"/>
        </w:rPr>
        <w:t xml:space="preserve">4 </w:t>
      </w:r>
      <w:r>
        <w:rPr>
          <w:rFonts w:ascii="Times New Roman" w:cs="Times New Roman"/>
        </w:rPr>
        <w:t>设计联络</w:t>
      </w:r>
      <w:r>
        <w:tab/>
      </w:r>
      <w:r>
        <w:fldChar w:fldCharType="begin"/>
      </w:r>
      <w:r>
        <w:instrText xml:space="preserve"> PAGEREF _Toc17180 </w:instrText>
      </w:r>
      <w:r>
        <w:fldChar w:fldCharType="separate"/>
      </w:r>
      <w:r>
        <w:t>21</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_Toc24420 </w:instrText>
      </w:r>
      <w:r>
        <w:rPr>
          <w:szCs w:val="40"/>
        </w:rPr>
        <w:fldChar w:fldCharType="separate"/>
      </w:r>
      <w:r>
        <w:rPr>
          <w:rFonts w:hint="eastAsia" w:ascii="Times New Roman" w:cs="Times New Roman"/>
        </w:rPr>
        <w:t>10 监造、包装、运输、安装及质量保证</w:t>
      </w:r>
      <w:r>
        <w:tab/>
      </w:r>
      <w:r>
        <w:fldChar w:fldCharType="begin"/>
      </w:r>
      <w:r>
        <w:instrText xml:space="preserve"> PAGEREF _Toc24420 </w:instrText>
      </w:r>
      <w:r>
        <w:fldChar w:fldCharType="separate"/>
      </w:r>
      <w:r>
        <w:t>22</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_Toc30908 </w:instrText>
      </w:r>
      <w:r>
        <w:rPr>
          <w:szCs w:val="40"/>
        </w:rPr>
        <w:fldChar w:fldCharType="separate"/>
      </w:r>
      <w:r>
        <w:rPr>
          <w:rFonts w:hint="eastAsia" w:ascii="Times New Roman" w:cs="Times New Roman"/>
        </w:rPr>
        <w:t>10.1 监造</w:t>
      </w:r>
      <w:r>
        <w:tab/>
      </w:r>
      <w:r>
        <w:fldChar w:fldCharType="begin"/>
      </w:r>
      <w:r>
        <w:instrText xml:space="preserve"> PAGEREF _Toc30908 </w:instrText>
      </w:r>
      <w:r>
        <w:fldChar w:fldCharType="separate"/>
      </w:r>
      <w:r>
        <w:t>22</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_Toc17429 </w:instrText>
      </w:r>
      <w:r>
        <w:rPr>
          <w:szCs w:val="40"/>
        </w:rPr>
        <w:fldChar w:fldCharType="separate"/>
      </w:r>
      <w:r>
        <w:rPr>
          <w:rFonts w:hint="eastAsia" w:ascii="Times New Roman" w:cs="Times New Roman"/>
        </w:rPr>
        <w:t>10.2 包装</w:t>
      </w:r>
      <w:r>
        <w:tab/>
      </w:r>
      <w:r>
        <w:fldChar w:fldCharType="begin"/>
      </w:r>
      <w:r>
        <w:instrText xml:space="preserve"> PAGEREF _Toc17429 </w:instrText>
      </w:r>
      <w:r>
        <w:fldChar w:fldCharType="separate"/>
      </w:r>
      <w:r>
        <w:t>22</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_Toc13848 </w:instrText>
      </w:r>
      <w:r>
        <w:rPr>
          <w:szCs w:val="40"/>
        </w:rPr>
        <w:fldChar w:fldCharType="separate"/>
      </w:r>
      <w:r>
        <w:rPr>
          <w:rFonts w:hint="eastAsia" w:ascii="Times New Roman" w:cs="Times New Roman"/>
        </w:rPr>
        <w:t>10.3 运输</w:t>
      </w:r>
      <w:r>
        <w:tab/>
      </w:r>
      <w:r>
        <w:fldChar w:fldCharType="begin"/>
      </w:r>
      <w:r>
        <w:instrText xml:space="preserve"> PAGEREF _Toc13848 </w:instrText>
      </w:r>
      <w:r>
        <w:fldChar w:fldCharType="separate"/>
      </w:r>
      <w:r>
        <w:t>23</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_Toc21848 </w:instrText>
      </w:r>
      <w:r>
        <w:rPr>
          <w:szCs w:val="40"/>
        </w:rPr>
        <w:fldChar w:fldCharType="separate"/>
      </w:r>
      <w:r>
        <w:rPr>
          <w:rFonts w:hint="eastAsia" w:ascii="Times New Roman" w:cs="Times New Roman"/>
        </w:rPr>
        <w:t>10.4 储存</w:t>
      </w:r>
      <w:r>
        <w:tab/>
      </w:r>
      <w:r>
        <w:fldChar w:fldCharType="begin"/>
      </w:r>
      <w:r>
        <w:instrText xml:space="preserve"> PAGEREF _Toc21848 </w:instrText>
      </w:r>
      <w:r>
        <w:fldChar w:fldCharType="separate"/>
      </w:r>
      <w:r>
        <w:t>23</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_Toc883 </w:instrText>
      </w:r>
      <w:r>
        <w:rPr>
          <w:szCs w:val="40"/>
        </w:rPr>
        <w:fldChar w:fldCharType="separate"/>
      </w:r>
      <w:r>
        <w:rPr>
          <w:rFonts w:hint="eastAsia" w:ascii="Times New Roman" w:cs="Times New Roman"/>
        </w:rPr>
        <w:t>10.5 开箱检查</w:t>
      </w:r>
      <w:r>
        <w:tab/>
      </w:r>
      <w:r>
        <w:fldChar w:fldCharType="begin"/>
      </w:r>
      <w:r>
        <w:instrText xml:space="preserve"> PAGEREF _Toc883 </w:instrText>
      </w:r>
      <w:r>
        <w:fldChar w:fldCharType="separate"/>
      </w:r>
      <w:r>
        <w:t>23</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_Toc21122 </w:instrText>
      </w:r>
      <w:r>
        <w:rPr>
          <w:szCs w:val="40"/>
        </w:rPr>
        <w:fldChar w:fldCharType="separate"/>
      </w:r>
      <w:r>
        <w:rPr>
          <w:rFonts w:hint="eastAsia" w:ascii="Times New Roman" w:cs="Times New Roman"/>
        </w:rPr>
        <w:t>10.6 安装指导</w:t>
      </w:r>
      <w:r>
        <w:tab/>
      </w:r>
      <w:r>
        <w:fldChar w:fldCharType="begin"/>
      </w:r>
      <w:r>
        <w:instrText xml:space="preserve"> PAGEREF _Toc21122 </w:instrText>
      </w:r>
      <w:r>
        <w:fldChar w:fldCharType="separate"/>
      </w:r>
      <w:r>
        <w:t>23</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_Toc8801 </w:instrText>
      </w:r>
      <w:r>
        <w:rPr>
          <w:szCs w:val="40"/>
        </w:rPr>
        <w:fldChar w:fldCharType="separate"/>
      </w:r>
      <w:r>
        <w:rPr>
          <w:rFonts w:hint="eastAsia" w:ascii="Times New Roman" w:cs="Times New Roman"/>
        </w:rPr>
        <w:t>10.7 质量保证</w:t>
      </w:r>
      <w:r>
        <w:tab/>
      </w:r>
      <w:r>
        <w:fldChar w:fldCharType="begin"/>
      </w:r>
      <w:r>
        <w:instrText xml:space="preserve"> PAGEREF _Toc8801 </w:instrText>
      </w:r>
      <w:r>
        <w:fldChar w:fldCharType="separate"/>
      </w:r>
      <w:r>
        <w:t>23</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_Toc24586 </w:instrText>
      </w:r>
      <w:r>
        <w:rPr>
          <w:szCs w:val="40"/>
        </w:rPr>
        <w:fldChar w:fldCharType="separate"/>
      </w:r>
      <w:r>
        <w:rPr>
          <w:rFonts w:hint="eastAsia" w:ascii="Times New Roman" w:cs="Times New Roman"/>
        </w:rPr>
        <w:t xml:space="preserve">11 </w:t>
      </w:r>
      <w:r>
        <w:rPr>
          <w:rFonts w:ascii="Times New Roman" w:cs="Times New Roman"/>
        </w:rPr>
        <w:t>附录</w:t>
      </w:r>
      <w:r>
        <w:tab/>
      </w:r>
      <w:r>
        <w:fldChar w:fldCharType="begin"/>
      </w:r>
      <w:r>
        <w:instrText xml:space="preserve"> PAGEREF _Toc24586 </w:instrText>
      </w:r>
      <w:r>
        <w:fldChar w:fldCharType="separate"/>
      </w:r>
      <w:r>
        <w:t>23</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_Toc12786 </w:instrText>
      </w:r>
      <w:r>
        <w:rPr>
          <w:szCs w:val="40"/>
        </w:rPr>
        <w:fldChar w:fldCharType="separate"/>
      </w:r>
      <w:r>
        <w:rPr>
          <w:rFonts w:hint="eastAsia" w:ascii="Times New Roman"/>
          <w:szCs w:val="21"/>
        </w:rPr>
        <w:t>附录</w:t>
      </w:r>
      <w:r>
        <w:rPr>
          <w:rFonts w:ascii="Times New Roman"/>
          <w:szCs w:val="21"/>
        </w:rPr>
        <w:t>A</w:t>
      </w:r>
      <w:r>
        <w:rPr>
          <w:rFonts w:hint="eastAsia" w:ascii="Times New Roman"/>
          <w:szCs w:val="21"/>
        </w:rPr>
        <w:t>：</w:t>
      </w:r>
      <w:r>
        <w:rPr>
          <w:rFonts w:ascii="Times New Roman"/>
          <w:szCs w:val="21"/>
        </w:rPr>
        <w:t>户内终端性能要求</w:t>
      </w:r>
      <w:r>
        <w:tab/>
      </w:r>
      <w:r>
        <w:fldChar w:fldCharType="begin"/>
      </w:r>
      <w:r>
        <w:instrText xml:space="preserve"> PAGEREF _Toc12786 </w:instrText>
      </w:r>
      <w:r>
        <w:fldChar w:fldCharType="separate"/>
      </w:r>
      <w:r>
        <w:t>23</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_Toc9094 </w:instrText>
      </w:r>
      <w:r>
        <w:rPr>
          <w:szCs w:val="40"/>
        </w:rPr>
        <w:fldChar w:fldCharType="separate"/>
      </w:r>
      <w:r>
        <w:rPr>
          <w:rFonts w:hint="eastAsia" w:ascii="Times New Roman"/>
          <w:szCs w:val="21"/>
        </w:rPr>
        <w:t>附录</w:t>
      </w:r>
      <w:r>
        <w:rPr>
          <w:rFonts w:ascii="Times New Roman"/>
          <w:szCs w:val="21"/>
        </w:rPr>
        <w:t>B</w:t>
      </w:r>
      <w:r>
        <w:rPr>
          <w:rFonts w:hint="eastAsia" w:ascii="Times New Roman"/>
          <w:szCs w:val="21"/>
        </w:rPr>
        <w:t>：</w:t>
      </w:r>
      <w:r>
        <w:rPr>
          <w:rFonts w:ascii="Times New Roman"/>
          <w:szCs w:val="21"/>
        </w:rPr>
        <w:t>户外终端性能要求</w:t>
      </w:r>
      <w:r>
        <w:tab/>
      </w:r>
      <w:r>
        <w:fldChar w:fldCharType="begin"/>
      </w:r>
      <w:r>
        <w:instrText xml:space="preserve"> PAGEREF _Toc9094 </w:instrText>
      </w:r>
      <w:r>
        <w:fldChar w:fldCharType="separate"/>
      </w:r>
      <w:r>
        <w:t>24</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_Toc16660 </w:instrText>
      </w:r>
      <w:r>
        <w:rPr>
          <w:szCs w:val="40"/>
        </w:rPr>
        <w:fldChar w:fldCharType="separate"/>
      </w:r>
      <w:r>
        <w:rPr>
          <w:rFonts w:hint="eastAsia" w:ascii="Times New Roman"/>
          <w:szCs w:val="21"/>
        </w:rPr>
        <w:t>附录</w:t>
      </w:r>
      <w:r>
        <w:rPr>
          <w:rFonts w:ascii="Times New Roman"/>
          <w:szCs w:val="21"/>
        </w:rPr>
        <w:t>C</w:t>
      </w:r>
      <w:r>
        <w:rPr>
          <w:rFonts w:hint="eastAsia" w:ascii="Times New Roman"/>
          <w:szCs w:val="21"/>
        </w:rPr>
        <w:t>：电缆直接接头性能要求</w:t>
      </w:r>
      <w:r>
        <w:tab/>
      </w:r>
      <w:r>
        <w:fldChar w:fldCharType="begin"/>
      </w:r>
      <w:r>
        <w:instrText xml:space="preserve"> PAGEREF _Toc16660 </w:instrText>
      </w:r>
      <w:r>
        <w:fldChar w:fldCharType="separate"/>
      </w:r>
      <w:r>
        <w:t>24</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_Toc22778 </w:instrText>
      </w:r>
      <w:r>
        <w:rPr>
          <w:szCs w:val="40"/>
        </w:rPr>
        <w:fldChar w:fldCharType="separate"/>
      </w:r>
      <w:r>
        <w:rPr>
          <w:rFonts w:hint="eastAsia" w:ascii="Times New Roman"/>
          <w:szCs w:val="21"/>
        </w:rPr>
        <w:t>附录</w:t>
      </w:r>
      <w:r>
        <w:rPr>
          <w:rFonts w:ascii="Times New Roman"/>
          <w:szCs w:val="21"/>
        </w:rPr>
        <w:t>D</w:t>
      </w:r>
      <w:r>
        <w:rPr>
          <w:rFonts w:hint="eastAsia" w:ascii="Times New Roman"/>
          <w:szCs w:val="21"/>
        </w:rPr>
        <w:t>：三元乙丙橡胶绝缘料性能</w:t>
      </w:r>
      <w:r>
        <w:tab/>
      </w:r>
      <w:r>
        <w:fldChar w:fldCharType="begin"/>
      </w:r>
      <w:r>
        <w:instrText xml:space="preserve"> PAGEREF _Toc22778 </w:instrText>
      </w:r>
      <w:r>
        <w:fldChar w:fldCharType="separate"/>
      </w:r>
      <w:r>
        <w:t>25</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_Toc10572 </w:instrText>
      </w:r>
      <w:r>
        <w:rPr>
          <w:szCs w:val="40"/>
        </w:rPr>
        <w:fldChar w:fldCharType="separate"/>
      </w:r>
      <w:r>
        <w:rPr>
          <w:rFonts w:hint="eastAsia" w:ascii="Times New Roman"/>
          <w:szCs w:val="21"/>
        </w:rPr>
        <w:t>附录</w:t>
      </w:r>
      <w:r>
        <w:rPr>
          <w:rFonts w:ascii="Times New Roman"/>
          <w:szCs w:val="21"/>
        </w:rPr>
        <w:t>E</w:t>
      </w:r>
      <w:r>
        <w:rPr>
          <w:rFonts w:hint="eastAsia" w:ascii="Times New Roman"/>
          <w:szCs w:val="21"/>
        </w:rPr>
        <w:t>：硅橡胶绝缘料性能</w:t>
      </w:r>
      <w:r>
        <w:tab/>
      </w:r>
      <w:r>
        <w:fldChar w:fldCharType="begin"/>
      </w:r>
      <w:r>
        <w:instrText xml:space="preserve"> PAGEREF _Toc10572 </w:instrText>
      </w:r>
      <w:r>
        <w:fldChar w:fldCharType="separate"/>
      </w:r>
      <w:r>
        <w:t>25</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_Toc29497 </w:instrText>
      </w:r>
      <w:r>
        <w:rPr>
          <w:szCs w:val="40"/>
        </w:rPr>
        <w:fldChar w:fldCharType="separate"/>
      </w:r>
      <w:r>
        <w:rPr>
          <w:rFonts w:hint="eastAsia" w:ascii="Times New Roman"/>
          <w:szCs w:val="21"/>
        </w:rPr>
        <w:t>附录</w:t>
      </w:r>
      <w:r>
        <w:rPr>
          <w:rFonts w:ascii="Times New Roman"/>
          <w:szCs w:val="21"/>
        </w:rPr>
        <w:t>F</w:t>
      </w:r>
      <w:r>
        <w:rPr>
          <w:rFonts w:hint="eastAsia" w:ascii="Times New Roman"/>
          <w:szCs w:val="21"/>
        </w:rPr>
        <w:t>：绝缘混合剂的性能</w:t>
      </w:r>
      <w:r>
        <w:tab/>
      </w:r>
      <w:r>
        <w:fldChar w:fldCharType="begin"/>
      </w:r>
      <w:r>
        <w:instrText xml:space="preserve"> PAGEREF _Toc29497 </w:instrText>
      </w:r>
      <w:r>
        <w:fldChar w:fldCharType="separate"/>
      </w:r>
      <w:r>
        <w:t>25</w:t>
      </w:r>
      <w:r>
        <w:fldChar w:fldCharType="end"/>
      </w:r>
      <w:r>
        <w:rPr>
          <w:szCs w:val="40"/>
        </w:rPr>
        <w:fldChar w:fldCharType="end"/>
      </w:r>
    </w:p>
    <w:p>
      <w:pPr>
        <w:pStyle w:val="31"/>
        <w:tabs>
          <w:tab w:val="right" w:leader="dot" w:pos="9298"/>
        </w:tabs>
      </w:pPr>
      <w:r>
        <w:rPr>
          <w:szCs w:val="40"/>
        </w:rPr>
        <w:fldChar w:fldCharType="begin"/>
      </w:r>
      <w:r>
        <w:rPr>
          <w:szCs w:val="40"/>
        </w:rPr>
        <w:instrText xml:space="preserve"> HYPERLINK \l _Toc7158 </w:instrText>
      </w:r>
      <w:r>
        <w:rPr>
          <w:szCs w:val="40"/>
        </w:rPr>
        <w:fldChar w:fldCharType="separate"/>
      </w:r>
      <w:r>
        <w:rPr>
          <w:rFonts w:hint="eastAsia" w:ascii="Times New Roman"/>
          <w:szCs w:val="21"/>
        </w:rPr>
        <w:t>附录</w:t>
      </w:r>
      <w:r>
        <w:rPr>
          <w:rFonts w:ascii="Times New Roman"/>
          <w:szCs w:val="21"/>
        </w:rPr>
        <w:t>G</w:t>
      </w:r>
      <w:r>
        <w:rPr>
          <w:rFonts w:hint="eastAsia" w:ascii="Times New Roman"/>
          <w:szCs w:val="21"/>
        </w:rPr>
        <w:t>：</w:t>
      </w:r>
      <w:r>
        <w:rPr>
          <w:rFonts w:ascii="Times New Roman"/>
          <w:szCs w:val="21"/>
        </w:rPr>
        <w:t>电缆附件规格型号</w:t>
      </w:r>
      <w:r>
        <w:tab/>
      </w:r>
      <w:r>
        <w:fldChar w:fldCharType="begin"/>
      </w:r>
      <w:r>
        <w:instrText xml:space="preserve"> PAGEREF _Toc7158 </w:instrText>
      </w:r>
      <w:r>
        <w:fldChar w:fldCharType="separate"/>
      </w:r>
      <w:r>
        <w:t>26</w:t>
      </w:r>
      <w:r>
        <w:fldChar w:fldCharType="end"/>
      </w:r>
      <w:r>
        <w:rPr>
          <w:szCs w:val="40"/>
        </w:rPr>
        <w:fldChar w:fldCharType="end"/>
      </w:r>
    </w:p>
    <w:p>
      <w:pPr>
        <w:pStyle w:val="26"/>
        <w:tabs>
          <w:tab w:val="right" w:leader="dot" w:pos="9298"/>
        </w:tabs>
      </w:pPr>
      <w:r>
        <w:rPr>
          <w:szCs w:val="40"/>
        </w:rPr>
        <w:fldChar w:fldCharType="begin"/>
      </w:r>
      <w:r>
        <w:rPr>
          <w:szCs w:val="40"/>
        </w:rPr>
        <w:instrText xml:space="preserve"> HYPERLINK \l _Toc10402 </w:instrText>
      </w:r>
      <w:r>
        <w:rPr>
          <w:szCs w:val="40"/>
        </w:rPr>
        <w:fldChar w:fldCharType="separate"/>
      </w:r>
      <w:r>
        <w:rPr>
          <w:rFonts w:hint="eastAsia" w:ascii="黑体" w:hAnsi="黑体" w:eastAsia="黑体"/>
          <w:kern w:val="44"/>
          <w:szCs w:val="21"/>
        </w:rPr>
        <w:t>附录H</w:t>
      </w:r>
      <w:r>
        <w:rPr>
          <w:rFonts w:ascii="黑体" w:hAnsi="黑体" w:eastAsia="黑体"/>
          <w:kern w:val="44"/>
          <w:szCs w:val="21"/>
        </w:rPr>
        <w:t>：</w:t>
      </w:r>
      <w:r>
        <w:rPr>
          <w:rFonts w:hint="eastAsia" w:ascii="黑体" w:hAnsi="黑体" w:eastAsia="黑体"/>
          <w:kern w:val="44"/>
          <w:szCs w:val="21"/>
        </w:rPr>
        <w:t>10kV冷缩型电缆附件技术规范书审核表单</w:t>
      </w:r>
      <w:r>
        <w:tab/>
      </w:r>
      <w:r>
        <w:fldChar w:fldCharType="begin"/>
      </w:r>
      <w:r>
        <w:instrText xml:space="preserve"> PAGEREF _Toc10402 </w:instrText>
      </w:r>
      <w:r>
        <w:fldChar w:fldCharType="separate"/>
      </w:r>
      <w:r>
        <w:t>27</w:t>
      </w:r>
      <w:r>
        <w:fldChar w:fldCharType="end"/>
      </w:r>
      <w:r>
        <w:rPr>
          <w:szCs w:val="40"/>
        </w:rPr>
        <w:fldChar w:fldCharType="end"/>
      </w:r>
    </w:p>
    <w:p>
      <w:pPr>
        <w:spacing w:line="360" w:lineRule="auto"/>
        <w:rPr>
          <w:snapToGrid w:val="0"/>
          <w:kern w:val="0"/>
          <w:sz w:val="28"/>
          <w:szCs w:val="28"/>
        </w:rPr>
        <w:sectPr>
          <w:footerReference r:id="rId14" w:type="default"/>
          <w:pgSz w:w="11906" w:h="16838"/>
          <w:pgMar w:top="1383" w:right="1304" w:bottom="1077" w:left="1304" w:header="851" w:footer="851" w:gutter="0"/>
          <w:pgNumType w:fmt="upperRoman"/>
          <w:cols w:space="720" w:num="1"/>
          <w:docGrid w:linePitch="312" w:charSpace="0"/>
        </w:sectPr>
      </w:pPr>
      <w:r>
        <w:rPr>
          <w:szCs w:val="40"/>
        </w:rPr>
        <w:fldChar w:fldCharType="end"/>
      </w:r>
    </w:p>
    <w:p>
      <w:pPr>
        <w:pStyle w:val="186"/>
        <w:numPr>
          <w:ilvl w:val="0"/>
          <w:numId w:val="1"/>
        </w:numPr>
        <w:tabs>
          <w:tab w:val="clear" w:pos="425"/>
        </w:tabs>
        <w:spacing w:before="312" w:after="312"/>
        <w:ind w:left="0" w:firstLine="0"/>
        <w:rPr>
          <w:rFonts w:ascii="Times New Roman" w:cs="Times New Roman"/>
        </w:rPr>
      </w:pPr>
      <w:bookmarkStart w:id="1" w:name="_Toc405368410"/>
      <w:bookmarkStart w:id="2" w:name="_Toc292025341"/>
      <w:bookmarkStart w:id="3" w:name="_Toc29376"/>
      <w:r>
        <w:rPr>
          <w:rFonts w:ascii="Times New Roman" w:cs="Times New Roman"/>
        </w:rPr>
        <w:t>总则</w:t>
      </w:r>
      <w:bookmarkEnd w:id="1"/>
      <w:bookmarkEnd w:id="2"/>
      <w:bookmarkEnd w:id="3"/>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1.1</w:t>
      </w:r>
      <w:r>
        <w:rPr>
          <w:rFonts w:hint="eastAsia" w:ascii="Times New Roman" w:hAnsi="Times New Roman"/>
          <w:b/>
          <w:color w:val="000000"/>
          <w:sz w:val="21"/>
          <w:szCs w:val="21"/>
        </w:rPr>
        <w:t xml:space="preserve"> </w:t>
      </w:r>
      <w:r>
        <w:rPr>
          <w:rFonts w:ascii="Times New Roman" w:hAnsi="Times New Roman"/>
          <w:color w:val="000000"/>
          <w:sz w:val="21"/>
          <w:szCs w:val="21"/>
        </w:rPr>
        <w:t>本技术规范书适用于中国南方电网公司采购的</w:t>
      </w:r>
      <w:r>
        <w:rPr>
          <w:rFonts w:hint="eastAsia" w:ascii="Times New Roman" w:hAnsi="Times New Roman"/>
          <w:color w:val="000000"/>
          <w:sz w:val="21"/>
          <w:szCs w:val="21"/>
        </w:rPr>
        <w:t>10kV冷缩型电缆附件</w:t>
      </w:r>
      <w:r>
        <w:rPr>
          <w:rFonts w:ascii="Times New Roman" w:hAnsi="Times New Roman"/>
          <w:color w:val="000000"/>
          <w:sz w:val="21"/>
          <w:szCs w:val="21"/>
        </w:rPr>
        <w:t>， 它提出了该设备本体及附属设备的功能设计、结构、性能、安装和试验等方面的技术要求。</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 xml:space="preserve">1.2 </w:t>
      </w:r>
      <w:r>
        <w:rPr>
          <w:rFonts w:ascii="Times New Roman" w:hAnsi="Times New Roman"/>
          <w:color w:val="000000"/>
          <w:sz w:val="21"/>
          <w:szCs w:val="21"/>
        </w:rPr>
        <w:t>本技术规范书提出的是最低限度的技术要求。凡本技术规范书中未规定，但在相关设备的行业标准、国家标准或IEC标准中有规定的规范条文，投标方应按相关标准的最高技术要求执行。对国家有关安全、环保等强制性标准，必须满足其要求。</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 xml:space="preserve">1.3 </w:t>
      </w:r>
      <w:r>
        <w:rPr>
          <w:rFonts w:ascii="Times New Roman" w:hAnsi="Times New Roman"/>
          <w:color w:val="000000"/>
          <w:sz w:val="21"/>
          <w:szCs w:val="21"/>
        </w:rPr>
        <w:t>如果投标方没有以书面形式对本技术规范书的条文提出异议，则意味着投标方提供的设备完全符合本技术规范书的要求。如有异议，应在投标文件中以“技术偏差表”为标题的专门章节中加以详细描述。</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 xml:space="preserve">1.4 </w:t>
      </w:r>
      <w:r>
        <w:rPr>
          <w:rFonts w:ascii="Times New Roman" w:hAnsi="Times New Roman"/>
          <w:color w:val="000000"/>
          <w:sz w:val="21"/>
          <w:szCs w:val="21"/>
        </w:rPr>
        <w:t>本技术规范书所使用的标准如遇与投标方所执行的标准不一致时，按技术要求较高的标准执行。</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 xml:space="preserve">1.5 </w:t>
      </w:r>
      <w:r>
        <w:rPr>
          <w:rFonts w:ascii="Times New Roman" w:hAnsi="Times New Roman"/>
          <w:color w:val="000000"/>
          <w:sz w:val="21"/>
          <w:szCs w:val="21"/>
        </w:rPr>
        <w:t>本技术规范书经买、卖双方确认后作为订货合同的技术附件，与合同正文具有同等的法律效力。</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1.6</w:t>
      </w:r>
      <w:r>
        <w:rPr>
          <w:rFonts w:ascii="Times New Roman" w:hAnsi="Times New Roman"/>
          <w:color w:val="000000"/>
          <w:sz w:val="21"/>
          <w:szCs w:val="21"/>
        </w:rPr>
        <w:t xml:space="preserve"> 本技术规范书未尽事宜，由买、卖双方协商确定。</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 xml:space="preserve">1.7 </w:t>
      </w:r>
      <w:r>
        <w:rPr>
          <w:rFonts w:ascii="Times New Roman" w:hAnsi="Times New Roman"/>
          <w:color w:val="000000"/>
          <w:sz w:val="21"/>
          <w:szCs w:val="21"/>
        </w:rPr>
        <w:t>投标方在投标技术文件中应如实反映投标产品与本技术规范书的技术差异。如果投标方没有提出技术差异，而在执行合同的过程中，招标方发现投标方提供的产品与其投标技术文件的条文存在差异，招标方有权利要求退货，并追究投标方违约责任。</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 xml:space="preserve">1.8 </w:t>
      </w:r>
      <w:r>
        <w:rPr>
          <w:rFonts w:ascii="Times New Roman" w:hAnsi="Times New Roman"/>
          <w:color w:val="000000"/>
          <w:sz w:val="21"/>
          <w:szCs w:val="21"/>
        </w:rPr>
        <w:t>投标方应在投标技术部分按本技术规范书的要求如实详细的填写投标设备的标准配置表，并在投标商务部分按此标准配置进行报价，如发现二者有矛盾之处，将按有利于招标方的条款执行。</w:t>
      </w:r>
    </w:p>
    <w:p>
      <w:pPr>
        <w:pStyle w:val="19"/>
        <w:spacing w:line="360" w:lineRule="auto"/>
        <w:rPr>
          <w:rFonts w:ascii="Times New Roman" w:hAnsi="Times New Roman"/>
          <w:color w:val="000000"/>
          <w:sz w:val="21"/>
          <w:szCs w:val="21"/>
        </w:rPr>
      </w:pPr>
      <w:r>
        <w:rPr>
          <w:rFonts w:ascii="Times New Roman" w:hAnsi="Times New Roman"/>
          <w:b/>
          <w:color w:val="000000"/>
          <w:sz w:val="21"/>
          <w:szCs w:val="21"/>
        </w:rPr>
        <w:t xml:space="preserve">1.9 </w:t>
      </w:r>
      <w:r>
        <w:rPr>
          <w:rFonts w:ascii="Times New Roman" w:hAnsi="Times New Roman"/>
          <w:color w:val="000000"/>
          <w:sz w:val="21"/>
          <w:szCs w:val="21"/>
        </w:rPr>
        <w:t>投标方应充分理解本技术规范书并按具体条款、格式要求填写投标的技术文件，如发现投标的技术文件条款、格式不符合本技术规范书的要求，则认为投标不严肃，在评标时将有不同程度的扣分。</w:t>
      </w:r>
    </w:p>
    <w:p>
      <w:pPr>
        <w:pStyle w:val="19"/>
        <w:spacing w:line="360" w:lineRule="auto"/>
        <w:rPr>
          <w:rFonts w:ascii="Times New Roman" w:hAnsi="Times New Roman"/>
          <w:color w:val="000000"/>
          <w:sz w:val="21"/>
          <w:szCs w:val="21"/>
        </w:rPr>
      </w:pPr>
    </w:p>
    <w:p>
      <w:pPr>
        <w:pStyle w:val="78"/>
        <w:spacing w:line="360" w:lineRule="auto"/>
        <w:ind w:firstLineChars="0"/>
        <w:rPr>
          <w:snapToGrid w:val="0"/>
          <w:kern w:val="0"/>
          <w:sz w:val="28"/>
          <w:szCs w:val="28"/>
        </w:rPr>
        <w:sectPr>
          <w:pgSz w:w="11906" w:h="16838"/>
          <w:pgMar w:top="1440" w:right="1800" w:bottom="1440" w:left="1800" w:header="851" w:footer="992" w:gutter="0"/>
          <w:pgNumType w:start="1"/>
          <w:cols w:space="720" w:num="1"/>
          <w:docGrid w:type="lines" w:linePitch="312" w:charSpace="0"/>
        </w:sectPr>
      </w:pPr>
    </w:p>
    <w:p>
      <w:pPr>
        <w:pStyle w:val="186"/>
        <w:numPr>
          <w:ilvl w:val="0"/>
          <w:numId w:val="1"/>
        </w:numPr>
        <w:tabs>
          <w:tab w:val="clear" w:pos="425"/>
        </w:tabs>
        <w:spacing w:before="312" w:after="312"/>
        <w:ind w:left="0" w:firstLine="0"/>
        <w:rPr>
          <w:rFonts w:ascii="Times New Roman" w:cs="Times New Roman"/>
        </w:rPr>
      </w:pPr>
      <w:bookmarkStart w:id="4" w:name="_Toc229476378"/>
      <w:bookmarkEnd w:id="4"/>
      <w:bookmarkStart w:id="5" w:name="_Toc229476588"/>
      <w:bookmarkEnd w:id="5"/>
      <w:bookmarkStart w:id="6" w:name="_Toc229476507"/>
      <w:bookmarkEnd w:id="6"/>
      <w:bookmarkStart w:id="7" w:name="_Toc229476473"/>
      <w:bookmarkEnd w:id="7"/>
      <w:bookmarkStart w:id="8" w:name="_Toc11314"/>
      <w:bookmarkStart w:id="9" w:name="_Toc112756678"/>
      <w:bookmarkStart w:id="10" w:name="_Toc291768527"/>
      <w:bookmarkStart w:id="11" w:name="_Toc305941225"/>
      <w:bookmarkStart w:id="12" w:name="_Toc290652071"/>
      <w:r>
        <w:rPr>
          <w:rFonts w:hint="eastAsia" w:ascii="Times New Roman" w:cs="Times New Roman"/>
        </w:rPr>
        <w:t>工作范围</w:t>
      </w:r>
      <w:bookmarkEnd w:id="8"/>
    </w:p>
    <w:p>
      <w:pPr>
        <w:pStyle w:val="188"/>
        <w:rPr>
          <w:rFonts w:ascii="Times New Roman" w:cs="Times New Roman"/>
          <w:b/>
        </w:rPr>
      </w:pPr>
      <w:bookmarkStart w:id="13" w:name="_Toc2969"/>
      <w:bookmarkStart w:id="14" w:name="_Toc405368412"/>
      <w:bookmarkStart w:id="15" w:name="_Toc292025343"/>
      <w:r>
        <w:rPr>
          <w:rFonts w:ascii="Times New Roman" w:cs="Times New Roman"/>
          <w:b/>
        </w:rPr>
        <w:t xml:space="preserve">2.1 </w:t>
      </w:r>
      <w:r>
        <w:rPr>
          <w:rFonts w:ascii="Times New Roman" w:cs="Times New Roman"/>
        </w:rPr>
        <w:t>工程概况</w:t>
      </w:r>
      <w:bookmarkEnd w:id="13"/>
      <w:bookmarkEnd w:id="14"/>
      <w:bookmarkEnd w:id="15"/>
    </w:p>
    <w:p>
      <w:pPr>
        <w:adjustRightInd w:val="0"/>
        <w:spacing w:line="360" w:lineRule="auto"/>
        <w:ind w:firstLine="420" w:firstLineChars="200"/>
      </w:pPr>
      <w:r>
        <w:t>本技术规范书采购的设备适用的工程概况详见专用部分。</w:t>
      </w:r>
    </w:p>
    <w:p>
      <w:pPr>
        <w:pStyle w:val="188"/>
        <w:rPr>
          <w:rFonts w:ascii="Times New Roman" w:cs="Times New Roman"/>
          <w:b/>
        </w:rPr>
      </w:pPr>
      <w:bookmarkStart w:id="16" w:name="_Toc292025344"/>
      <w:bookmarkStart w:id="17" w:name="_Toc14937"/>
      <w:bookmarkStart w:id="18" w:name="_Toc405368413"/>
      <w:r>
        <w:rPr>
          <w:rFonts w:ascii="Times New Roman" w:cs="Times New Roman"/>
          <w:b/>
        </w:rPr>
        <w:t xml:space="preserve">2.2 </w:t>
      </w:r>
      <w:r>
        <w:rPr>
          <w:rFonts w:ascii="Times New Roman" w:cs="Times New Roman"/>
        </w:rPr>
        <w:t>范围和界限</w:t>
      </w:r>
      <w:bookmarkEnd w:id="16"/>
      <w:bookmarkEnd w:id="17"/>
      <w:bookmarkEnd w:id="18"/>
    </w:p>
    <w:p>
      <w:pPr>
        <w:adjustRightInd w:val="0"/>
        <w:spacing w:line="360" w:lineRule="auto"/>
        <w:ind w:firstLine="420" w:firstLineChars="200"/>
      </w:pPr>
      <w:bookmarkStart w:id="19" w:name="_Toc292025345"/>
      <w:r>
        <w:t xml:space="preserve">1) </w:t>
      </w:r>
      <w:r>
        <w:rPr>
          <w:rFonts w:hint="eastAsia"/>
        </w:rPr>
        <w:t>本技术规范书适用于中国南方电网公司配网新建、扩建及改造工程，安装在配网线路并运行的</w:t>
      </w:r>
      <w:r>
        <w:t>10kV</w:t>
      </w:r>
      <w:r>
        <w:rPr>
          <w:rFonts w:hint="eastAsia"/>
        </w:rPr>
        <w:t>冷缩型电缆附件。</w:t>
      </w:r>
    </w:p>
    <w:p>
      <w:pPr>
        <w:adjustRightInd w:val="0"/>
        <w:spacing w:line="360" w:lineRule="auto"/>
        <w:ind w:firstLine="420" w:firstLineChars="200"/>
      </w:pPr>
      <w:r>
        <w:t>2) 运输</w:t>
      </w:r>
    </w:p>
    <w:p>
      <w:pPr>
        <w:adjustRightInd w:val="0"/>
        <w:spacing w:line="360" w:lineRule="auto"/>
        <w:ind w:firstLine="420" w:firstLineChars="200"/>
      </w:pPr>
      <w:r>
        <w:t>运输条件详见专用部分。</w:t>
      </w:r>
    </w:p>
    <w:p>
      <w:pPr>
        <w:adjustRightInd w:val="0"/>
        <w:spacing w:line="360" w:lineRule="auto"/>
        <w:ind w:firstLine="420" w:firstLineChars="200"/>
      </w:pPr>
      <w:r>
        <w:t>3) 现场安装和试验在投标方的技术指导和监督下由招标方完成。</w:t>
      </w:r>
    </w:p>
    <w:p>
      <w:pPr>
        <w:adjustRightInd w:val="0"/>
        <w:spacing w:line="360" w:lineRule="auto"/>
        <w:ind w:firstLine="420" w:firstLineChars="200"/>
      </w:pPr>
      <w:r>
        <w:t>4）本技术规范书未说明，但与设计、制造、装配、试验、运输、包装、保管、安装和运行维护有关的技术要求，按条款3所列的有关标准执行。</w:t>
      </w:r>
    </w:p>
    <w:p>
      <w:pPr>
        <w:pStyle w:val="188"/>
        <w:rPr>
          <w:rFonts w:ascii="Times New Roman" w:cs="Times New Roman"/>
          <w:b/>
        </w:rPr>
      </w:pPr>
      <w:bookmarkStart w:id="20" w:name="_Toc405368414"/>
      <w:bookmarkStart w:id="21" w:name="_Toc13995"/>
      <w:r>
        <w:rPr>
          <w:rFonts w:ascii="Times New Roman" w:cs="Times New Roman"/>
          <w:b/>
        </w:rPr>
        <w:t xml:space="preserve">2.3 </w:t>
      </w:r>
      <w:r>
        <w:rPr>
          <w:rFonts w:ascii="Times New Roman" w:cs="Times New Roman"/>
        </w:rPr>
        <w:t>服务范围</w:t>
      </w:r>
      <w:bookmarkEnd w:id="19"/>
      <w:bookmarkEnd w:id="20"/>
      <w:bookmarkEnd w:id="21"/>
    </w:p>
    <w:p>
      <w:pPr>
        <w:adjustRightInd w:val="0"/>
        <w:spacing w:line="360" w:lineRule="auto"/>
        <w:ind w:firstLine="420" w:firstLineChars="200"/>
      </w:pPr>
      <w:r>
        <w:t>1）投标方应按本技术规范书的要求提供全新的、合格的10kV</w:t>
      </w:r>
      <w:r>
        <w:rPr>
          <w:rFonts w:hint="eastAsia"/>
        </w:rPr>
        <w:t>冷缩型电缆附件</w:t>
      </w:r>
      <w:r>
        <w:t>、备品备件、专用工具和仪器。</w:t>
      </w:r>
    </w:p>
    <w:p>
      <w:pPr>
        <w:adjustRightInd w:val="0"/>
        <w:spacing w:line="360" w:lineRule="auto"/>
        <w:ind w:firstLine="420" w:firstLineChars="200"/>
      </w:pPr>
      <w:r>
        <w:t>投标方所提供的组件或附件如需向第三方外购时</w:t>
      </w:r>
      <w:r>
        <w:rPr>
          <w:rFonts w:hint="eastAsia"/>
        </w:rPr>
        <w:t>，</w:t>
      </w:r>
      <w:r>
        <w:t>投标方应对质量向招标方负责</w:t>
      </w:r>
      <w:r>
        <w:rPr>
          <w:rFonts w:hint="eastAsia"/>
        </w:rPr>
        <w:t>，</w:t>
      </w:r>
      <w:r>
        <w:t>并提供相应出厂和验收报告。</w:t>
      </w:r>
    </w:p>
    <w:p>
      <w:pPr>
        <w:adjustRightInd w:val="0"/>
        <w:spacing w:line="360" w:lineRule="auto"/>
        <w:ind w:firstLine="420" w:firstLineChars="200"/>
      </w:pPr>
      <w:r>
        <w:t>投标方负责对招标方专业人员的技术培训 （包括硬件、软件的维护及运行培训）</w:t>
      </w:r>
      <w:r>
        <w:rPr>
          <w:rFonts w:hint="eastAsia"/>
        </w:rPr>
        <w:t>，</w:t>
      </w:r>
      <w:r>
        <w:t>并提供必要的工作场地。</w:t>
      </w:r>
    </w:p>
    <w:p>
      <w:pPr>
        <w:adjustRightInd w:val="0"/>
        <w:spacing w:line="360" w:lineRule="auto"/>
        <w:ind w:firstLine="420" w:firstLineChars="200"/>
      </w:pPr>
      <w:r>
        <w:t>投标方应承诺保证期以后</w:t>
      </w:r>
      <w:r>
        <w:rPr>
          <w:rFonts w:hint="eastAsia"/>
        </w:rPr>
        <w:t>，</w:t>
      </w:r>
      <w:r>
        <w:t>协助招标方对设备进行升级、维护等工作</w:t>
      </w:r>
      <w:r>
        <w:rPr>
          <w:rFonts w:hint="eastAsia"/>
        </w:rPr>
        <w:t>，</w:t>
      </w:r>
      <w:r>
        <w:t>并优惠提供最新开发的应用软件。</w:t>
      </w:r>
    </w:p>
    <w:p>
      <w:pPr>
        <w:adjustRightInd w:val="0"/>
        <w:spacing w:line="360" w:lineRule="auto"/>
        <w:ind w:firstLine="420" w:firstLineChars="200"/>
      </w:pPr>
      <w:r>
        <w:t>投标方负责本设备与配电自动化主站的通信调试</w:t>
      </w:r>
      <w:r>
        <w:rPr>
          <w:rFonts w:hint="eastAsia"/>
        </w:rPr>
        <w:t>，</w:t>
      </w:r>
      <w:r>
        <w:t>并协助施工单位完成系统传动试验。</w:t>
      </w:r>
    </w:p>
    <w:p>
      <w:pPr>
        <w:adjustRightInd w:val="0"/>
        <w:spacing w:line="360" w:lineRule="auto"/>
        <w:ind w:firstLine="420" w:firstLineChars="200"/>
      </w:pPr>
      <w:r>
        <w:t>2）供货范围</w:t>
      </w:r>
      <w:bookmarkStart w:id="22" w:name="_Toc283142589"/>
      <w:bookmarkStart w:id="23" w:name="_Toc282433715"/>
      <w:bookmarkStart w:id="24" w:name="_Toc283011667"/>
      <w:r>
        <w:t>一览表</w:t>
      </w:r>
      <w:bookmarkEnd w:id="22"/>
      <w:bookmarkEnd w:id="23"/>
      <w:bookmarkEnd w:id="24"/>
    </w:p>
    <w:p>
      <w:pPr>
        <w:adjustRightInd w:val="0"/>
        <w:spacing w:line="360" w:lineRule="auto"/>
        <w:ind w:firstLine="420" w:firstLineChars="200"/>
      </w:pPr>
      <w:r>
        <w:t>供货范围及设备技术规格一览表详见专用部分2.1，并补充供货范围如下：</w:t>
      </w:r>
    </w:p>
    <w:p>
      <w:pPr>
        <w:adjustRightInd w:val="0"/>
        <w:spacing w:line="360" w:lineRule="auto"/>
        <w:ind w:firstLine="420" w:firstLineChars="200"/>
      </w:pPr>
      <w:r>
        <w:t>设备安装所需的底架、支架、平台及紧固件，提供设备引接至接地网的接地线。</w:t>
      </w:r>
    </w:p>
    <w:p>
      <w:pPr>
        <w:adjustRightInd w:val="0"/>
        <w:spacing w:line="360" w:lineRule="auto"/>
        <w:ind w:firstLine="420" w:firstLineChars="200"/>
      </w:pPr>
      <w:r>
        <w:t>设备安装及</w:t>
      </w:r>
      <w:r>
        <w:rPr>
          <w:rFonts w:hint="eastAsia"/>
        </w:rPr>
        <w:t>运维</w:t>
      </w:r>
      <w:r>
        <w:t xml:space="preserve">所需的线缆及相关附件。 </w:t>
      </w:r>
    </w:p>
    <w:p>
      <w:pPr>
        <w:adjustRightInd w:val="0"/>
        <w:spacing w:line="360" w:lineRule="auto"/>
        <w:ind w:firstLine="420" w:firstLineChars="200"/>
      </w:pPr>
      <w:r>
        <w:rPr>
          <w:rFonts w:hint="eastAsia"/>
        </w:rPr>
        <w:t>3）</w:t>
      </w:r>
      <w:r>
        <w:t>工厂试验由投标方在生产厂家内完成，但应有招标方代表参加, 参加工厂验收的人数及天数等规定详见标书商务部分。</w:t>
      </w:r>
    </w:p>
    <w:p>
      <w:pPr>
        <w:adjustRightInd w:val="0"/>
        <w:spacing w:line="360" w:lineRule="auto"/>
        <w:ind w:firstLine="420" w:firstLineChars="200"/>
      </w:pPr>
      <w:r>
        <w:t>4）现场安装和试验在投标方的技术指导下由招标方完成，投标方协助招标方按标准检查安装质量，处理调试投运过程中出现的问题，并提供备品、备件，做好销售服务工作。投标方应选派有经验的技术人员，对安装和运行人员免费培训。安装督导的工作范围及人数和天数等规定详见标书商务部分。</w:t>
      </w:r>
    </w:p>
    <w:p>
      <w:pPr>
        <w:adjustRightInd w:val="0"/>
        <w:spacing w:line="360" w:lineRule="auto"/>
        <w:ind w:firstLine="420" w:firstLineChars="200"/>
      </w:pPr>
      <w:r>
        <w:t>5）投标方应协助招标方解决设备运行中出现的问题。</w:t>
      </w:r>
    </w:p>
    <w:p>
      <w:pPr>
        <w:adjustRightInd w:val="0"/>
        <w:spacing w:line="360" w:lineRule="auto"/>
        <w:ind w:firstLine="420" w:firstLineChars="200"/>
      </w:pPr>
      <w:r>
        <w:t>6）设计联络会议的地点及招标方参加人员的人数和天数等规定详见标书商务部分。</w:t>
      </w:r>
    </w:p>
    <w:p>
      <w:pPr>
        <w:adjustRightInd w:val="0"/>
        <w:spacing w:line="360" w:lineRule="auto"/>
        <w:ind w:firstLine="420" w:firstLineChars="200"/>
      </w:pPr>
      <w:r>
        <w:t>7）设备安装、调试和性能试验合格后方可投运。设备投运并稳定运行后，投标方和招标方（业主）双方应根据相关法律、法规和公司管理制度签署合同设备的验收证明书。该证明书共两份，双方各执一份。</w:t>
      </w:r>
    </w:p>
    <w:p>
      <w:pPr>
        <w:adjustRightInd w:val="0"/>
        <w:spacing w:line="360" w:lineRule="auto"/>
        <w:ind w:firstLine="420" w:firstLineChars="200"/>
      </w:pPr>
      <w:r>
        <w:t>8）如果安装、调试、性能试验、试运行及质保期内技术指标一项或多项不能满足合同技术部分要求，招、投标双方共同分析原因，分清责任，如属制造方面的原因，或涉及索赔部分，按商务部分有关条款执行。</w:t>
      </w:r>
      <w:bookmarkEnd w:id="9"/>
      <w:bookmarkEnd w:id="10"/>
      <w:bookmarkEnd w:id="11"/>
      <w:bookmarkEnd w:id="12"/>
    </w:p>
    <w:p>
      <w:pPr>
        <w:pStyle w:val="186"/>
        <w:numPr>
          <w:ilvl w:val="0"/>
          <w:numId w:val="1"/>
        </w:numPr>
        <w:tabs>
          <w:tab w:val="clear" w:pos="425"/>
        </w:tabs>
        <w:spacing w:before="312" w:after="312"/>
        <w:ind w:left="0" w:firstLine="0"/>
        <w:rPr>
          <w:rFonts w:ascii="Times New Roman" w:cs="Times New Roman"/>
        </w:rPr>
      </w:pPr>
      <w:bookmarkStart w:id="25" w:name="_Toc6580"/>
      <w:bookmarkStart w:id="26" w:name="_Toc12524"/>
      <w:bookmarkStart w:id="27" w:name="_Toc15004"/>
      <w:bookmarkStart w:id="28" w:name="_Toc279769035"/>
      <w:r>
        <w:rPr>
          <w:rFonts w:ascii="Times New Roman" w:cs="Times New Roman"/>
        </w:rPr>
        <w:t>应遵循的主要标准</w:t>
      </w:r>
      <w:bookmarkEnd w:id="25"/>
    </w:p>
    <w:bookmarkEnd w:id="26"/>
    <w:bookmarkEnd w:id="27"/>
    <w:p>
      <w:pPr>
        <w:adjustRightInd w:val="0"/>
        <w:spacing w:line="360" w:lineRule="auto"/>
        <w:ind w:firstLine="420" w:firstLineChars="200"/>
      </w:pPr>
      <w:r>
        <w:t>除本技术规范特殊规定外，投标方所提供的设备均按规定的标准和规程的最新版本进行设计、制造、试验和安装。如果这些标准内容有矛盾时，应按技术要求最高的条款执行或按双方商定的标准执行。如果投标方选用本技术规范规定以外的标准时，则需提交这种替换标准供审查和分析。仅在投标方已证明替换标准相当或优于技术规范规定的标准，并从招标方处获得书面的认可才能使用。提交供审查的标准应为中文版本。</w:t>
      </w:r>
    </w:p>
    <w:p>
      <w:pPr>
        <w:adjustRightInd w:val="0"/>
        <w:spacing w:line="360" w:lineRule="auto"/>
        <w:ind w:firstLine="420" w:firstLineChars="200"/>
      </w:pPr>
      <w:r>
        <w:t>下列文件对于本技术规范书的应用是必不可少。凡是注日期的引用文件，仅注日期的版本适用于本技术规范书。凡是不注日期的引用文件，其最新版本（包括所有的修改单）适用于本技术规范书：</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szCs w:val="20"/>
        </w:rPr>
        <w:t>GB</w:t>
      </w:r>
      <w:r>
        <w:rPr>
          <w:rFonts w:hint="eastAsia" w:ascii="Times New Roman" w:hAnsi="Times New Roman"/>
          <w:kern w:val="2"/>
          <w:sz w:val="21"/>
          <w:szCs w:val="20"/>
          <w:lang w:val="en-US" w:eastAsia="zh-CN"/>
        </w:rPr>
        <w:t xml:space="preserve"> </w:t>
      </w:r>
      <w:r>
        <w:rPr>
          <w:rFonts w:ascii="Times New Roman" w:hAnsi="Times New Roman"/>
          <w:kern w:val="2"/>
          <w:sz w:val="21"/>
          <w:szCs w:val="20"/>
        </w:rPr>
        <w:t>311.1</w:t>
      </w:r>
      <w:r>
        <w:rPr>
          <w:rFonts w:ascii="Times New Roman" w:hAnsi="Times New Roman"/>
          <w:kern w:val="2"/>
          <w:sz w:val="21"/>
          <w:szCs w:val="20"/>
        </w:rPr>
        <w:tab/>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高压输变电设备绝缘配合</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szCs w:val="20"/>
        </w:rPr>
        <w:t xml:space="preserve">GB 9327  </w:t>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电缆导体压缩和机械连接接头试验方法</w:t>
      </w:r>
    </w:p>
    <w:p>
      <w:pPr>
        <w:pStyle w:val="19"/>
        <w:spacing w:line="360" w:lineRule="auto"/>
        <w:ind w:firstLine="420" w:firstLineChars="200"/>
        <w:rPr>
          <w:rFonts w:ascii="Times New Roman" w:hAnsi="Times New Roman"/>
          <w:kern w:val="2"/>
          <w:sz w:val="21"/>
        </w:rPr>
      </w:pPr>
      <w:r>
        <w:rPr>
          <w:rFonts w:ascii="Times New Roman" w:hAnsi="Times New Roman"/>
          <w:kern w:val="2"/>
          <w:sz w:val="21"/>
          <w:szCs w:val="20"/>
        </w:rPr>
        <w:t xml:space="preserve">GB 14315  </w:t>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电线电缆导体用压接型铜、铝接线端子和连接管</w:t>
      </w:r>
    </w:p>
    <w:p>
      <w:pPr>
        <w:pStyle w:val="19"/>
        <w:spacing w:line="360" w:lineRule="auto"/>
        <w:ind w:firstLine="420" w:firstLineChars="200"/>
        <w:rPr>
          <w:rFonts w:ascii="Times New Roman" w:hAnsi="Times New Roman"/>
          <w:kern w:val="2"/>
          <w:sz w:val="21"/>
        </w:rPr>
      </w:pPr>
      <w:r>
        <w:rPr>
          <w:rFonts w:ascii="Times New Roman" w:hAnsi="Times New Roman"/>
          <w:kern w:val="2"/>
          <w:sz w:val="21"/>
          <w:szCs w:val="20"/>
        </w:rPr>
        <w:t>GB 18889</w:t>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额定电压6kV</w:t>
      </w:r>
      <w:r>
        <w:rPr>
          <w:rFonts w:hint="eastAsia" w:ascii="Times New Roman" w:hAnsi="Times New Roman"/>
          <w:kern w:val="2"/>
          <w:sz w:val="21"/>
        </w:rPr>
        <w:t>（</w:t>
      </w:r>
      <w:r>
        <w:rPr>
          <w:rFonts w:ascii="Times New Roman" w:hAnsi="Times New Roman"/>
          <w:kern w:val="2"/>
          <w:sz w:val="21"/>
        </w:rPr>
        <w:t>Um=7.2kV</w:t>
      </w:r>
      <w:r>
        <w:rPr>
          <w:rFonts w:hint="eastAsia" w:ascii="Times New Roman" w:hAnsi="Times New Roman"/>
          <w:kern w:val="2"/>
          <w:sz w:val="21"/>
        </w:rPr>
        <w:t>）</w:t>
      </w:r>
      <w:r>
        <w:rPr>
          <w:rFonts w:ascii="Times New Roman" w:hAnsi="Times New Roman"/>
          <w:kern w:val="2"/>
          <w:sz w:val="21"/>
        </w:rPr>
        <w:t xml:space="preserve"> </w:t>
      </w:r>
      <w:r>
        <w:rPr>
          <w:rFonts w:hint="eastAsia" w:ascii="Times New Roman" w:hAnsi="Times New Roman"/>
          <w:kern w:val="2"/>
          <w:sz w:val="21"/>
        </w:rPr>
        <w:t>）到</w:t>
      </w:r>
      <w:r>
        <w:rPr>
          <w:rFonts w:ascii="Times New Roman" w:hAnsi="Times New Roman"/>
          <w:kern w:val="2"/>
          <w:sz w:val="21"/>
        </w:rPr>
        <w:t>35kV</w:t>
      </w:r>
      <w:r>
        <w:rPr>
          <w:rFonts w:hint="eastAsia" w:ascii="Times New Roman" w:hAnsi="Times New Roman"/>
          <w:kern w:val="2"/>
          <w:sz w:val="21"/>
        </w:rPr>
        <w:t>（</w:t>
      </w:r>
      <w:r>
        <w:rPr>
          <w:rFonts w:ascii="Times New Roman" w:hAnsi="Times New Roman"/>
          <w:kern w:val="2"/>
          <w:sz w:val="21"/>
        </w:rPr>
        <w:t>Um=40.5kV</w:t>
      </w:r>
      <w:r>
        <w:rPr>
          <w:rFonts w:hint="eastAsia" w:ascii="Times New Roman" w:hAnsi="Times New Roman"/>
          <w:kern w:val="2"/>
          <w:sz w:val="21"/>
        </w:rPr>
        <w:t>）电力电缆附件试验方法</w:t>
      </w:r>
    </w:p>
    <w:p>
      <w:pPr>
        <w:pStyle w:val="19"/>
        <w:spacing w:line="360" w:lineRule="auto"/>
        <w:ind w:firstLine="420" w:firstLineChars="200"/>
        <w:rPr>
          <w:rFonts w:ascii="Times New Roman" w:hAnsi="Times New Roman"/>
          <w:kern w:val="2"/>
          <w:sz w:val="21"/>
        </w:rPr>
      </w:pPr>
      <w:r>
        <w:rPr>
          <w:rFonts w:ascii="Times New Roman" w:hAnsi="Times New Roman"/>
          <w:kern w:val="2"/>
          <w:sz w:val="21"/>
          <w:szCs w:val="20"/>
        </w:rPr>
        <w:t>GB</w:t>
      </w:r>
      <w:r>
        <w:rPr>
          <w:rFonts w:hint="eastAsia" w:ascii="Times New Roman" w:hAnsi="Times New Roman"/>
          <w:kern w:val="2"/>
          <w:sz w:val="21"/>
          <w:szCs w:val="20"/>
          <w:lang w:val="en-US" w:eastAsia="zh-CN"/>
        </w:rPr>
        <w:t xml:space="preserve"> </w:t>
      </w:r>
      <w:r>
        <w:rPr>
          <w:rFonts w:ascii="Times New Roman" w:hAnsi="Times New Roman"/>
          <w:kern w:val="2"/>
          <w:sz w:val="21"/>
          <w:szCs w:val="20"/>
        </w:rPr>
        <w:t>50150</w:t>
      </w:r>
      <w:r>
        <w:rPr>
          <w:rFonts w:ascii="Times New Roman" w:hAnsi="Times New Roman"/>
          <w:kern w:val="2"/>
          <w:sz w:val="21"/>
          <w:szCs w:val="20"/>
        </w:rPr>
        <w:tab/>
      </w:r>
      <w:r>
        <w:rPr>
          <w:rFonts w:ascii="Times New Roman" w:hAnsi="Times New Roman"/>
          <w:kern w:val="2"/>
          <w:sz w:val="21"/>
          <w:szCs w:val="20"/>
        </w:rPr>
        <w:t xml:space="preserve"> </w:t>
      </w:r>
      <w:r>
        <w:rPr>
          <w:rFonts w:hint="eastAsia" w:ascii="Times New Roman" w:hAnsi="Times New Roman"/>
          <w:kern w:val="2"/>
          <w:sz w:val="21"/>
          <w:szCs w:val="20"/>
        </w:rPr>
        <w:t xml:space="preserve"> </w:t>
      </w:r>
      <w:r>
        <w:rPr>
          <w:rFonts w:ascii="Times New Roman" w:hAnsi="Times New Roman"/>
          <w:kern w:val="2"/>
          <w:sz w:val="21"/>
        </w:rPr>
        <w:t>电气装置安装工程电气设备交接试验标准</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szCs w:val="20"/>
        </w:rPr>
        <w:t>GB</w:t>
      </w:r>
      <w:r>
        <w:rPr>
          <w:rFonts w:hint="eastAsia" w:ascii="Times New Roman" w:hAnsi="Times New Roman"/>
          <w:kern w:val="2"/>
          <w:sz w:val="21"/>
          <w:szCs w:val="20"/>
          <w:lang w:val="en-US" w:eastAsia="zh-CN"/>
        </w:rPr>
        <w:t xml:space="preserve"> </w:t>
      </w:r>
      <w:r>
        <w:rPr>
          <w:rFonts w:ascii="Times New Roman" w:hAnsi="Times New Roman"/>
          <w:kern w:val="2"/>
          <w:sz w:val="21"/>
          <w:szCs w:val="20"/>
        </w:rPr>
        <w:t>50217</w:t>
      </w:r>
      <w:r>
        <w:rPr>
          <w:rFonts w:ascii="Times New Roman" w:hAnsi="Times New Roman"/>
          <w:kern w:val="2"/>
          <w:sz w:val="21"/>
          <w:szCs w:val="20"/>
        </w:rPr>
        <w:tab/>
      </w:r>
      <w:r>
        <w:rPr>
          <w:rFonts w:ascii="Times New Roman" w:hAnsi="Times New Roman"/>
          <w:kern w:val="2"/>
          <w:sz w:val="21"/>
          <w:szCs w:val="20"/>
        </w:rPr>
        <w:t xml:space="preserve"> </w:t>
      </w:r>
      <w:r>
        <w:rPr>
          <w:rFonts w:hint="eastAsia" w:ascii="Times New Roman" w:hAnsi="Times New Roman"/>
          <w:kern w:val="2"/>
          <w:sz w:val="21"/>
          <w:szCs w:val="20"/>
        </w:rPr>
        <w:t xml:space="preserve"> </w:t>
      </w:r>
      <w:r>
        <w:rPr>
          <w:rFonts w:ascii="Times New Roman" w:hAnsi="Times New Roman"/>
          <w:kern w:val="2"/>
          <w:sz w:val="21"/>
        </w:rPr>
        <w:t>电力工程电缆设计规范</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szCs w:val="20"/>
        </w:rPr>
        <w:t>GB</w:t>
      </w:r>
      <w:r>
        <w:rPr>
          <w:rFonts w:hint="eastAsia" w:ascii="Times New Roman" w:hAnsi="Times New Roman"/>
          <w:kern w:val="2"/>
          <w:sz w:val="21"/>
          <w:szCs w:val="20"/>
        </w:rPr>
        <w:t>／</w:t>
      </w:r>
      <w:r>
        <w:rPr>
          <w:rFonts w:ascii="Times New Roman" w:hAnsi="Times New Roman"/>
          <w:kern w:val="2"/>
          <w:sz w:val="21"/>
          <w:szCs w:val="20"/>
        </w:rPr>
        <w:t>T 12706</w:t>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额定电压lkV</w:t>
      </w:r>
      <w:r>
        <w:rPr>
          <w:rFonts w:hint="eastAsia" w:ascii="Times New Roman" w:hAnsi="Times New Roman"/>
          <w:kern w:val="2"/>
          <w:sz w:val="21"/>
        </w:rPr>
        <w:t>（</w:t>
      </w:r>
      <w:r>
        <w:rPr>
          <w:rFonts w:ascii="Times New Roman" w:hAnsi="Times New Roman"/>
          <w:kern w:val="2"/>
          <w:sz w:val="21"/>
        </w:rPr>
        <w:t>Um=1.2kV</w:t>
      </w:r>
      <w:r>
        <w:rPr>
          <w:rFonts w:hint="eastAsia" w:ascii="Times New Roman" w:hAnsi="Times New Roman"/>
          <w:kern w:val="2"/>
          <w:sz w:val="21"/>
        </w:rPr>
        <w:t>）到</w:t>
      </w:r>
      <w:r>
        <w:rPr>
          <w:rFonts w:ascii="Times New Roman" w:hAnsi="Times New Roman"/>
          <w:kern w:val="2"/>
          <w:sz w:val="21"/>
        </w:rPr>
        <w:t>35kV</w:t>
      </w:r>
      <w:r>
        <w:rPr>
          <w:rFonts w:hint="eastAsia" w:ascii="Times New Roman" w:hAnsi="Times New Roman"/>
          <w:kern w:val="2"/>
          <w:sz w:val="21"/>
        </w:rPr>
        <w:t>（</w:t>
      </w:r>
      <w:r>
        <w:rPr>
          <w:rFonts w:ascii="Times New Roman" w:hAnsi="Times New Roman"/>
          <w:kern w:val="2"/>
          <w:sz w:val="21"/>
        </w:rPr>
        <w:t>Um=40.5kV</w:t>
      </w:r>
      <w:r>
        <w:rPr>
          <w:rFonts w:hint="eastAsia" w:ascii="Times New Roman" w:hAnsi="Times New Roman"/>
          <w:kern w:val="2"/>
          <w:sz w:val="21"/>
        </w:rPr>
        <w:t>）挤包绝缘电力电缆及其附件</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szCs w:val="20"/>
        </w:rPr>
        <w:t>GB/T 2951</w:t>
      </w:r>
      <w:r>
        <w:rPr>
          <w:rFonts w:ascii="Times New Roman" w:hAnsi="Times New Roman"/>
          <w:kern w:val="2"/>
          <w:sz w:val="21"/>
          <w:szCs w:val="20"/>
        </w:rPr>
        <w:tab/>
      </w:r>
      <w:r>
        <w:rPr>
          <w:rFonts w:ascii="Times New Roman" w:hAnsi="Times New Roman"/>
          <w:kern w:val="2"/>
          <w:sz w:val="21"/>
          <w:szCs w:val="20"/>
        </w:rPr>
        <w:t xml:space="preserve">  </w:t>
      </w:r>
      <w:r>
        <w:rPr>
          <w:rFonts w:hint="eastAsia" w:ascii="Times New Roman" w:hAnsi="Times New Roman"/>
          <w:kern w:val="2"/>
          <w:sz w:val="21"/>
        </w:rPr>
        <w:t>电缆和光缆绝缘和护套材料通用试验方法</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szCs w:val="20"/>
        </w:rPr>
        <w:t>DL/T620</w:t>
      </w:r>
      <w:r>
        <w:rPr>
          <w:rFonts w:ascii="Times New Roman" w:hAnsi="Times New Roman"/>
          <w:kern w:val="2"/>
          <w:sz w:val="21"/>
          <w:szCs w:val="20"/>
        </w:rPr>
        <w:tab/>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交流电气装置的过电压保护和绝缘配合</w:t>
      </w:r>
    </w:p>
    <w:p>
      <w:pPr>
        <w:pStyle w:val="19"/>
        <w:spacing w:line="360" w:lineRule="auto"/>
        <w:ind w:firstLine="420" w:firstLineChars="200"/>
        <w:rPr>
          <w:rFonts w:hint="eastAsia" w:ascii="Times New Roman" w:hAnsi="Times New Roman"/>
          <w:kern w:val="2"/>
          <w:sz w:val="21"/>
        </w:rPr>
      </w:pPr>
      <w:r>
        <w:rPr>
          <w:rFonts w:ascii="Times New Roman" w:hAnsi="Times New Roman"/>
          <w:kern w:val="2"/>
          <w:sz w:val="21"/>
          <w:szCs w:val="20"/>
        </w:rPr>
        <w:t>JB</w:t>
      </w:r>
      <w:r>
        <w:rPr>
          <w:rFonts w:hint="eastAsia" w:ascii="Times New Roman" w:hAnsi="Times New Roman"/>
          <w:kern w:val="2"/>
          <w:sz w:val="21"/>
          <w:szCs w:val="20"/>
        </w:rPr>
        <w:t>／</w:t>
      </w:r>
      <w:r>
        <w:rPr>
          <w:rFonts w:ascii="Times New Roman" w:hAnsi="Times New Roman"/>
          <w:kern w:val="2"/>
          <w:sz w:val="21"/>
          <w:szCs w:val="20"/>
        </w:rPr>
        <w:t>T 10740</w:t>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额定电压6kV</w:t>
      </w:r>
      <w:r>
        <w:rPr>
          <w:rFonts w:hint="eastAsia" w:ascii="Times New Roman" w:hAnsi="Times New Roman"/>
          <w:kern w:val="2"/>
          <w:sz w:val="21"/>
        </w:rPr>
        <w:t>（</w:t>
      </w:r>
      <w:r>
        <w:rPr>
          <w:rFonts w:ascii="Times New Roman" w:hAnsi="Times New Roman"/>
          <w:kern w:val="2"/>
          <w:sz w:val="21"/>
        </w:rPr>
        <w:t>Um=7.2kV</w:t>
      </w:r>
      <w:r>
        <w:rPr>
          <w:rFonts w:hint="eastAsia" w:ascii="Times New Roman" w:hAnsi="Times New Roman"/>
          <w:kern w:val="2"/>
          <w:sz w:val="21"/>
        </w:rPr>
        <w:t>）到</w:t>
      </w:r>
      <w:r>
        <w:rPr>
          <w:rFonts w:ascii="Times New Roman" w:hAnsi="Times New Roman"/>
          <w:kern w:val="2"/>
          <w:sz w:val="21"/>
        </w:rPr>
        <w:t>35kV</w:t>
      </w:r>
      <w:r>
        <w:rPr>
          <w:rFonts w:hint="eastAsia" w:ascii="Times New Roman" w:hAnsi="Times New Roman"/>
          <w:kern w:val="2"/>
          <w:sz w:val="21"/>
        </w:rPr>
        <w:t>（</w:t>
      </w:r>
      <w:r>
        <w:rPr>
          <w:rFonts w:ascii="Times New Roman" w:hAnsi="Times New Roman"/>
          <w:kern w:val="2"/>
          <w:sz w:val="21"/>
        </w:rPr>
        <w:t>Um=40.5kV</w:t>
      </w:r>
      <w:r>
        <w:rPr>
          <w:rFonts w:hint="eastAsia" w:ascii="Times New Roman" w:hAnsi="Times New Roman"/>
          <w:kern w:val="2"/>
          <w:sz w:val="21"/>
        </w:rPr>
        <w:t>）挤包绝缘电力电缆冷收缩式附件</w:t>
      </w:r>
    </w:p>
    <w:p>
      <w:pPr>
        <w:pStyle w:val="66"/>
        <w:spacing w:line="360" w:lineRule="auto"/>
        <w:ind w:firstLine="420"/>
        <w:rPr>
          <w:rFonts w:hint="eastAsia" w:ascii="Times New Roman" w:hAnsi="Times New Roman"/>
          <w:kern w:val="2"/>
          <w:sz w:val="21"/>
        </w:rPr>
      </w:pPr>
      <w:r>
        <w:rPr>
          <w:rFonts w:ascii="Times New Roman"/>
          <w:kern w:val="2"/>
        </w:rPr>
        <w:t>Q/CSG 10703</w:t>
      </w:r>
      <w:r>
        <w:rPr>
          <w:rFonts w:ascii="Times New Roman"/>
          <w:kern w:val="2"/>
        </w:rPr>
        <w:tab/>
      </w:r>
      <w:r>
        <w:rPr>
          <w:rFonts w:hint="eastAsia" w:ascii="Times New Roman"/>
          <w:kern w:val="2"/>
        </w:rPr>
        <w:t xml:space="preserve">  </w:t>
      </w:r>
      <w:r>
        <w:rPr>
          <w:rFonts w:ascii="Times New Roman"/>
          <w:kern w:val="2"/>
        </w:rPr>
        <w:t>1</w:t>
      </w:r>
      <w:r>
        <w:rPr>
          <w:rFonts w:ascii="Times New Roman"/>
          <w:kern w:val="2"/>
          <w:szCs w:val="24"/>
        </w:rPr>
        <w:t>10kV</w:t>
      </w:r>
      <w:r>
        <w:rPr>
          <w:rFonts w:hint="eastAsia" w:ascii="Times New Roman"/>
          <w:kern w:val="2"/>
          <w:szCs w:val="24"/>
        </w:rPr>
        <w:t>及以下配电网装备技术导则</w:t>
      </w:r>
    </w:p>
    <w:p>
      <w:pPr>
        <w:pStyle w:val="19"/>
        <w:spacing w:line="360" w:lineRule="auto"/>
        <w:ind w:firstLine="420" w:firstLineChars="200"/>
        <w:rPr>
          <w:rFonts w:ascii="Times New Roman" w:hAnsi="Times New Roman"/>
          <w:kern w:val="2"/>
          <w:sz w:val="21"/>
        </w:rPr>
      </w:pPr>
      <w:r>
        <w:rPr>
          <w:rFonts w:ascii="Times New Roman" w:hAnsi="Times New Roman"/>
          <w:kern w:val="2"/>
          <w:sz w:val="21"/>
          <w:szCs w:val="20"/>
        </w:rPr>
        <w:t>IEC 60270</w:t>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局部放电测量</w:t>
      </w:r>
    </w:p>
    <w:p>
      <w:pPr>
        <w:pStyle w:val="19"/>
        <w:adjustRightInd w:val="0"/>
        <w:spacing w:line="360" w:lineRule="auto"/>
        <w:ind w:firstLine="420" w:firstLineChars="200"/>
        <w:rPr>
          <w:rFonts w:hint="eastAsia" w:ascii="Times New Roman" w:hAnsi="Times New Roman"/>
          <w:kern w:val="2"/>
          <w:sz w:val="21"/>
        </w:rPr>
      </w:pPr>
      <w:r>
        <w:rPr>
          <w:rFonts w:ascii="Times New Roman" w:hAnsi="Times New Roman"/>
          <w:kern w:val="2"/>
          <w:sz w:val="21"/>
          <w:szCs w:val="20"/>
        </w:rPr>
        <w:t>IEEE Std 48</w:t>
      </w:r>
      <w:r>
        <w:rPr>
          <w:rFonts w:ascii="Times New Roman" w:hAnsi="Times New Roman"/>
          <w:kern w:val="2"/>
          <w:sz w:val="21"/>
          <w:szCs w:val="20"/>
        </w:rPr>
        <w:tab/>
      </w:r>
      <w:r>
        <w:rPr>
          <w:rFonts w:ascii="Times New Roman" w:hAnsi="Times New Roman"/>
          <w:kern w:val="2"/>
          <w:sz w:val="21"/>
          <w:szCs w:val="20"/>
        </w:rPr>
        <w:t xml:space="preserve">  </w:t>
      </w:r>
      <w:r>
        <w:rPr>
          <w:rFonts w:ascii="Times New Roman" w:hAnsi="Times New Roman"/>
          <w:kern w:val="2"/>
          <w:sz w:val="21"/>
        </w:rPr>
        <w:t>2.5kV</w:t>
      </w:r>
      <w:r>
        <w:rPr>
          <w:rFonts w:hint="eastAsia" w:ascii="Times New Roman" w:hAnsi="Times New Roman"/>
          <w:kern w:val="2"/>
          <w:sz w:val="21"/>
        </w:rPr>
        <w:t>～</w:t>
      </w:r>
      <w:r>
        <w:rPr>
          <w:rFonts w:ascii="Times New Roman" w:hAnsi="Times New Roman"/>
          <w:kern w:val="2"/>
          <w:sz w:val="21"/>
        </w:rPr>
        <w:t>765kV</w:t>
      </w:r>
      <w:r>
        <w:rPr>
          <w:rFonts w:hint="eastAsia" w:ascii="Times New Roman" w:hAnsi="Times New Roman"/>
          <w:kern w:val="2"/>
          <w:sz w:val="21"/>
        </w:rPr>
        <w:t>交流电缆终端的试验方法和要求以及其它相关标准</w:t>
      </w:r>
    </w:p>
    <w:p>
      <w:pPr>
        <w:pStyle w:val="19"/>
        <w:spacing w:line="360" w:lineRule="auto"/>
        <w:ind w:firstLine="420" w:firstLineChars="200"/>
        <w:rPr>
          <w:rFonts w:ascii="Times New Roman" w:hAnsi="Times New Roman"/>
          <w:kern w:val="2"/>
          <w:sz w:val="21"/>
        </w:rPr>
      </w:pPr>
      <w:r>
        <w:rPr>
          <w:rFonts w:ascii="Times New Roman" w:hAnsi="Times New Roman"/>
          <w:kern w:val="2"/>
          <w:sz w:val="21"/>
          <w:szCs w:val="20"/>
        </w:rPr>
        <w:t>ASTME-662</w:t>
      </w:r>
      <w:r>
        <w:rPr>
          <w:rFonts w:ascii="Times New Roman" w:hAnsi="Times New Roman"/>
          <w:kern w:val="2"/>
          <w:sz w:val="21"/>
          <w:szCs w:val="20"/>
        </w:rPr>
        <w:tab/>
      </w:r>
      <w:r>
        <w:rPr>
          <w:rFonts w:hint="eastAsia" w:ascii="Times New Roman" w:hAnsi="Times New Roman"/>
          <w:kern w:val="2"/>
          <w:sz w:val="21"/>
          <w:szCs w:val="20"/>
        </w:rPr>
        <w:t xml:space="preserve">  </w:t>
      </w:r>
      <w:r>
        <w:rPr>
          <w:rFonts w:hint="eastAsia" w:ascii="Times New Roman" w:hAnsi="Times New Roman"/>
          <w:kern w:val="2"/>
          <w:sz w:val="21"/>
        </w:rPr>
        <w:t>烟密度测试方法</w:t>
      </w:r>
      <w:r>
        <w:rPr>
          <w:rFonts w:ascii="Times New Roman" w:hAnsi="Times New Roman"/>
          <w:kern w:val="2"/>
          <w:sz w:val="21"/>
        </w:rPr>
        <w:t>ASTM D-1000ASTM D-570</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rPr>
        <w:t>Q/CSG 10012</w:t>
      </w:r>
      <w:r>
        <w:rPr>
          <w:rFonts w:hint="eastAsia" w:ascii="Times New Roman" w:hAnsi="Times New Roman"/>
          <w:kern w:val="2"/>
          <w:sz w:val="21"/>
          <w:lang w:val="en-US" w:eastAsia="zh-CN"/>
        </w:rPr>
        <w:tab/>
      </w:r>
      <w:r>
        <w:rPr>
          <w:rFonts w:hint="eastAsia" w:ascii="Times New Roman" w:hAnsi="Times New Roman"/>
          <w:kern w:val="2"/>
          <w:sz w:val="21"/>
          <w:szCs w:val="20"/>
        </w:rPr>
        <w:t xml:space="preserve">  </w:t>
      </w:r>
      <w:r>
        <w:rPr>
          <w:rFonts w:hint="eastAsia" w:ascii="Times New Roman" w:hAnsi="Times New Roman"/>
          <w:kern w:val="2"/>
          <w:sz w:val="21"/>
        </w:rPr>
        <w:t>中国南方电网城市配电网技术导则</w:t>
      </w:r>
    </w:p>
    <w:p>
      <w:pPr>
        <w:pStyle w:val="186"/>
        <w:numPr>
          <w:ilvl w:val="0"/>
          <w:numId w:val="1"/>
        </w:numPr>
        <w:tabs>
          <w:tab w:val="clear" w:pos="425"/>
        </w:tabs>
        <w:spacing w:before="312" w:after="312"/>
        <w:ind w:left="0" w:firstLine="0"/>
        <w:rPr>
          <w:rFonts w:ascii="Times New Roman" w:cs="Times New Roman"/>
        </w:rPr>
      </w:pPr>
      <w:bookmarkStart w:id="29" w:name="_Toc21390"/>
      <w:bookmarkStart w:id="30" w:name="_Toc305941521"/>
      <w:bookmarkStart w:id="31" w:name="_Toc4871"/>
      <w:bookmarkStart w:id="32" w:name="_Toc17671"/>
      <w:bookmarkStart w:id="33" w:name="_Toc417246346"/>
      <w:bookmarkStart w:id="34" w:name="_Toc305941229"/>
      <w:r>
        <w:rPr>
          <w:rFonts w:hint="eastAsia" w:ascii="Times New Roman" w:cs="Times New Roman"/>
        </w:rPr>
        <w:t>使用条件</w:t>
      </w:r>
      <w:bookmarkEnd w:id="29"/>
    </w:p>
    <w:bookmarkEnd w:id="28"/>
    <w:bookmarkEnd w:id="30"/>
    <w:bookmarkEnd w:id="31"/>
    <w:bookmarkEnd w:id="32"/>
    <w:bookmarkEnd w:id="33"/>
    <w:bookmarkEnd w:id="34"/>
    <w:p>
      <w:pPr>
        <w:adjustRightInd w:val="0"/>
        <w:spacing w:line="360" w:lineRule="auto"/>
        <w:ind w:firstLine="420" w:firstLineChars="200"/>
      </w:pPr>
      <w:r>
        <w:rPr>
          <w:rFonts w:hint="eastAsia"/>
        </w:rPr>
        <w:t>本</w:t>
      </w:r>
      <w:bookmarkStart w:id="35" w:name="_Toc279769036"/>
      <w:r>
        <w:t>技术规范</w:t>
      </w:r>
      <w:r>
        <w:rPr>
          <w:rFonts w:hint="eastAsia"/>
        </w:rPr>
        <w:t>要</w:t>
      </w:r>
      <w:r>
        <w:t>求</w:t>
      </w:r>
      <w:r>
        <w:rPr>
          <w:rFonts w:hint="eastAsia"/>
        </w:rPr>
        <w:t>的</w:t>
      </w:r>
      <w:r>
        <w:t>10kV</w:t>
      </w:r>
      <w:r>
        <w:rPr>
          <w:rFonts w:hint="eastAsia"/>
        </w:rPr>
        <w:t>冷缩型电缆附件，</w:t>
      </w:r>
      <w:r>
        <w:t>供应商</w:t>
      </w:r>
      <w:r>
        <w:rPr>
          <w:rFonts w:hint="eastAsia"/>
        </w:rPr>
        <w:t>应保证对所提供的设备不仅满足本</w:t>
      </w:r>
      <w:r>
        <w:t>技术规范</w:t>
      </w:r>
      <w:r>
        <w:rPr>
          <w:rFonts w:hint="eastAsia"/>
        </w:rPr>
        <w:t>要求的技术条款要求，而且还应对在实际安装地点的外部条件（正常使用条件及特殊使用条件）下的相关性能参数进行校验、核对，使所供设备满足实际外部条件要求及全工况运行要求。</w:t>
      </w:r>
    </w:p>
    <w:p>
      <w:pPr>
        <w:pStyle w:val="188"/>
        <w:rPr>
          <w:rFonts w:ascii="Times New Roman" w:cs="Times New Roman"/>
          <w:b/>
        </w:rPr>
      </w:pPr>
      <w:bookmarkStart w:id="36" w:name="_Toc31822"/>
      <w:bookmarkStart w:id="37" w:name="_Toc305941230"/>
      <w:bookmarkStart w:id="38" w:name="_Toc417246347"/>
      <w:r>
        <w:rPr>
          <w:rFonts w:ascii="Times New Roman" w:cs="Times New Roman"/>
          <w:b/>
        </w:rPr>
        <w:t>4.1</w:t>
      </w:r>
      <w:r>
        <w:rPr>
          <w:rFonts w:hint="eastAsia" w:ascii="Times New Roman" w:cs="Times New Roman"/>
          <w:b/>
        </w:rPr>
        <w:t xml:space="preserve"> </w:t>
      </w:r>
      <w:r>
        <w:rPr>
          <w:rFonts w:hint="eastAsia" w:ascii="Times New Roman" w:cs="Times New Roman"/>
        </w:rPr>
        <w:t>正</w:t>
      </w:r>
      <w:bookmarkStart w:id="39" w:name="_Toc285701796"/>
      <w:bookmarkStart w:id="40" w:name="_Toc285621516"/>
      <w:r>
        <w:rPr>
          <w:rFonts w:hint="eastAsia" w:ascii="Times New Roman" w:cs="Times New Roman"/>
        </w:rPr>
        <w:t>常使用条件</w:t>
      </w:r>
      <w:bookmarkEnd w:id="36"/>
    </w:p>
    <w:bookmarkEnd w:id="35"/>
    <w:bookmarkEnd w:id="37"/>
    <w:bookmarkEnd w:id="38"/>
    <w:bookmarkEnd w:id="39"/>
    <w:bookmarkEnd w:id="40"/>
    <w:p>
      <w:pPr>
        <w:adjustRightInd w:val="0"/>
        <w:spacing w:line="360" w:lineRule="auto"/>
        <w:ind w:firstLine="420" w:firstLineChars="200"/>
      </w:pPr>
      <w:bookmarkStart w:id="41" w:name="_Toc276492375"/>
      <w:bookmarkStart w:id="42" w:name="_Toc276490903"/>
      <w:r>
        <w:t>1</w:t>
      </w:r>
      <w:r>
        <w:rPr>
          <w:rFonts w:hint="eastAsia"/>
        </w:rPr>
        <w:t>）海拔高度：≤</w:t>
      </w:r>
      <w:r>
        <w:t>2500m</w:t>
      </w:r>
    </w:p>
    <w:p>
      <w:pPr>
        <w:adjustRightInd w:val="0"/>
        <w:spacing w:line="360" w:lineRule="auto"/>
        <w:ind w:firstLine="420" w:firstLineChars="200"/>
      </w:pPr>
      <w:r>
        <w:t>2</w:t>
      </w:r>
      <w:r>
        <w:rPr>
          <w:rFonts w:hint="eastAsia"/>
        </w:rPr>
        <w:t>）最高环境温度：</w:t>
      </w:r>
      <w:r>
        <w:t>+40ºC</w:t>
      </w:r>
    </w:p>
    <w:p>
      <w:pPr>
        <w:adjustRightInd w:val="0"/>
        <w:spacing w:line="360" w:lineRule="auto"/>
        <w:ind w:firstLine="420" w:firstLineChars="200"/>
      </w:pPr>
      <w:r>
        <w:t>3</w:t>
      </w:r>
      <w:r>
        <w:rPr>
          <w:rFonts w:hint="eastAsia"/>
        </w:rPr>
        <w:t>）最低环境温度：</w:t>
      </w:r>
      <w:r>
        <w:t>-10ºC</w:t>
      </w:r>
    </w:p>
    <w:p>
      <w:pPr>
        <w:adjustRightInd w:val="0"/>
        <w:spacing w:line="360" w:lineRule="auto"/>
        <w:ind w:firstLine="420" w:firstLineChars="200"/>
      </w:pPr>
      <w:r>
        <w:t>4</w:t>
      </w:r>
      <w:r>
        <w:rPr>
          <w:rFonts w:hint="eastAsia"/>
        </w:rPr>
        <w:t>）年平均气温：</w:t>
      </w:r>
      <w:r>
        <w:t>20ºC</w:t>
      </w:r>
    </w:p>
    <w:p>
      <w:pPr>
        <w:adjustRightInd w:val="0"/>
        <w:spacing w:line="360" w:lineRule="auto"/>
        <w:ind w:firstLine="420" w:firstLineChars="200"/>
      </w:pPr>
      <w:r>
        <w:t>5</w:t>
      </w:r>
      <w:r>
        <w:rPr>
          <w:rFonts w:hint="eastAsia"/>
        </w:rPr>
        <w:t>）最大日温差：</w:t>
      </w:r>
      <w:r>
        <w:t>30ºC</w:t>
      </w:r>
    </w:p>
    <w:p>
      <w:pPr>
        <w:adjustRightInd w:val="0"/>
        <w:spacing w:line="360" w:lineRule="auto"/>
        <w:ind w:firstLine="420" w:firstLineChars="200"/>
      </w:pPr>
      <w:r>
        <w:t>6</w:t>
      </w:r>
      <w:r>
        <w:rPr>
          <w:rFonts w:hint="eastAsia"/>
        </w:rPr>
        <w:t>）日照强度</w:t>
      </w:r>
      <w:r>
        <w:t>:0.1W/cm2</w:t>
      </w:r>
      <w:r>
        <w:rPr>
          <w:rFonts w:hint="eastAsia"/>
        </w:rPr>
        <w:t>（风速</w:t>
      </w:r>
      <w:r>
        <w:t>0.5m/s</w:t>
      </w:r>
      <w:r>
        <w:rPr>
          <w:rFonts w:hint="eastAsia"/>
        </w:rPr>
        <w:t>，大跨越采用</w:t>
      </w:r>
      <w:r>
        <w:t>0.6m/s</w:t>
      </w:r>
      <w:r>
        <w:rPr>
          <w:rFonts w:hint="eastAsia"/>
        </w:rPr>
        <w:t>）</w:t>
      </w:r>
    </w:p>
    <w:p>
      <w:pPr>
        <w:adjustRightInd w:val="0"/>
        <w:spacing w:line="360" w:lineRule="auto"/>
        <w:ind w:firstLine="420" w:firstLineChars="200"/>
      </w:pPr>
      <w:r>
        <w:t>7</w:t>
      </w:r>
      <w:r>
        <w:rPr>
          <w:rFonts w:hint="eastAsia"/>
        </w:rPr>
        <w:t>）覆冰厚度：</w:t>
      </w:r>
      <w:r>
        <w:t>0</w:t>
      </w:r>
      <w:r>
        <w:rPr>
          <w:rFonts w:hint="eastAsia"/>
        </w:rPr>
        <w:t>～</w:t>
      </w:r>
      <w:r>
        <w:t>50mm</w:t>
      </w:r>
    </w:p>
    <w:p>
      <w:pPr>
        <w:adjustRightInd w:val="0"/>
        <w:spacing w:line="360" w:lineRule="auto"/>
        <w:ind w:firstLine="420" w:firstLineChars="200"/>
      </w:pPr>
      <w:r>
        <w:t>8</w:t>
      </w:r>
      <w:r>
        <w:rPr>
          <w:rFonts w:hint="eastAsia"/>
        </w:rPr>
        <w:t>）最大设计风速：</w:t>
      </w:r>
      <w:r>
        <w:t>35m/s</w:t>
      </w:r>
      <w:r>
        <w:rPr>
          <w:rFonts w:hint="eastAsia"/>
        </w:rPr>
        <w:t>（离地面</w:t>
      </w:r>
      <w:r>
        <w:t xml:space="preserve">10m </w:t>
      </w:r>
      <w:r>
        <w:rPr>
          <w:rFonts w:hint="eastAsia"/>
        </w:rPr>
        <w:t>高处</w:t>
      </w:r>
      <w:r>
        <w:t xml:space="preserve">15 </w:t>
      </w:r>
      <w:r>
        <w:rPr>
          <w:rFonts w:hint="eastAsia"/>
        </w:rPr>
        <w:t>年一遇、</w:t>
      </w:r>
      <w:r>
        <w:t xml:space="preserve">10 </w:t>
      </w:r>
      <w:r>
        <w:rPr>
          <w:rFonts w:hint="eastAsia"/>
        </w:rPr>
        <w:t>分钟平均最大值）</w:t>
      </w:r>
    </w:p>
    <w:p>
      <w:pPr>
        <w:adjustRightInd w:val="0"/>
        <w:spacing w:line="360" w:lineRule="auto"/>
        <w:ind w:firstLine="420" w:firstLineChars="200"/>
      </w:pPr>
      <w:r>
        <w:t>9</w:t>
      </w:r>
      <w:r>
        <w:rPr>
          <w:rFonts w:hint="eastAsia"/>
        </w:rPr>
        <w:t>）环境相对湿度：日平均值：</w:t>
      </w:r>
      <w:r>
        <w:t>95%；</w:t>
      </w:r>
      <w:r>
        <w:rPr>
          <w:rFonts w:hint="eastAsia"/>
        </w:rPr>
        <w:t>月平均值：</w:t>
      </w:r>
      <w:r>
        <w:t>90%</w:t>
      </w:r>
    </w:p>
    <w:p>
      <w:pPr>
        <w:adjustRightInd w:val="0"/>
        <w:spacing w:line="360" w:lineRule="auto"/>
        <w:ind w:firstLine="420" w:firstLineChars="200"/>
      </w:pPr>
      <w:r>
        <w:t>10</w:t>
      </w:r>
      <w:r>
        <w:rPr>
          <w:rFonts w:hint="eastAsia"/>
        </w:rPr>
        <w:t>）污秽等级：</w:t>
      </w:r>
      <w:r>
        <w:rPr>
          <w:rFonts w:hint="eastAsia"/>
          <w:lang w:val="en-US" w:eastAsia="zh-CN"/>
        </w:rPr>
        <w:t>a</w:t>
      </w:r>
      <w:r>
        <w:rPr>
          <w:rFonts w:hint="eastAsia"/>
        </w:rPr>
        <w:t>～</w:t>
      </w:r>
      <w:r>
        <w:rPr>
          <w:rFonts w:hint="eastAsia"/>
          <w:lang w:val="en-US" w:eastAsia="zh-CN"/>
        </w:rPr>
        <w:t>e</w:t>
      </w:r>
      <w:r>
        <w:rPr>
          <w:rFonts w:hint="eastAsia"/>
        </w:rPr>
        <w:t>级</w:t>
      </w:r>
    </w:p>
    <w:p>
      <w:pPr>
        <w:adjustRightInd w:val="0"/>
        <w:spacing w:line="360" w:lineRule="auto"/>
        <w:ind w:firstLine="420" w:firstLineChars="200"/>
      </w:pPr>
      <w:r>
        <w:t>11</w:t>
      </w:r>
      <w:r>
        <w:rPr>
          <w:rFonts w:hint="eastAsia"/>
        </w:rPr>
        <w:t>）最大年降雨量</w:t>
      </w:r>
      <w:r>
        <w:t>：2400mm；</w:t>
      </w:r>
      <w:r>
        <w:rPr>
          <w:rFonts w:hint="eastAsia"/>
        </w:rPr>
        <w:t>最大日降雨量</w:t>
      </w:r>
      <w:r>
        <w:t>：375mm</w:t>
      </w:r>
    </w:p>
    <w:p>
      <w:pPr>
        <w:adjustRightInd w:val="0"/>
        <w:spacing w:line="360" w:lineRule="auto"/>
        <w:ind w:firstLine="420" w:firstLineChars="200"/>
      </w:pPr>
      <w:r>
        <w:t>12</w:t>
      </w:r>
      <w:r>
        <w:rPr>
          <w:rFonts w:hint="eastAsia"/>
        </w:rPr>
        <w:t>）雷暴日：</w:t>
      </w:r>
      <w:r>
        <w:t xml:space="preserve">110 </w:t>
      </w:r>
      <w:r>
        <w:rPr>
          <w:rFonts w:hint="eastAsia"/>
        </w:rPr>
        <w:t>日</w:t>
      </w:r>
      <w:r>
        <w:t>/</w:t>
      </w:r>
      <w:r>
        <w:rPr>
          <w:rFonts w:hint="eastAsia"/>
        </w:rPr>
        <w:t>年</w:t>
      </w:r>
      <w:r>
        <w:t>；</w:t>
      </w:r>
      <w:r>
        <w:rPr>
          <w:rFonts w:hint="eastAsia"/>
        </w:rPr>
        <w:t>地震烈度：Ⅷ</w:t>
      </w:r>
      <w:r>
        <w:t xml:space="preserve"> </w:t>
      </w:r>
      <w:r>
        <w:rPr>
          <w:rFonts w:hint="eastAsia"/>
        </w:rPr>
        <w:t>度</w:t>
      </w:r>
    </w:p>
    <w:p>
      <w:pPr>
        <w:pStyle w:val="188"/>
        <w:rPr>
          <w:rFonts w:ascii="Times New Roman" w:cs="Times New Roman"/>
          <w:b/>
        </w:rPr>
      </w:pPr>
      <w:bookmarkStart w:id="43" w:name="_Toc16790"/>
      <w:bookmarkStart w:id="44" w:name="_Toc417246348"/>
      <w:r>
        <w:rPr>
          <w:rFonts w:ascii="Times New Roman" w:cs="Times New Roman"/>
          <w:b/>
        </w:rPr>
        <w:t>4.2</w:t>
      </w:r>
      <w:r>
        <w:rPr>
          <w:rFonts w:hint="eastAsia" w:ascii="Times New Roman" w:cs="Times New Roman"/>
          <w:b/>
        </w:rPr>
        <w:t xml:space="preserve"> </w:t>
      </w:r>
      <w:r>
        <w:rPr>
          <w:rFonts w:ascii="Times New Roman" w:cs="Times New Roman"/>
        </w:rPr>
        <w:t>特殊使用条件要求</w:t>
      </w:r>
      <w:bookmarkEnd w:id="43"/>
    </w:p>
    <w:bookmarkEnd w:id="44"/>
    <w:p>
      <w:pPr>
        <w:adjustRightInd w:val="0"/>
        <w:spacing w:line="360" w:lineRule="auto"/>
        <w:ind w:firstLine="420" w:firstLineChars="200"/>
      </w:pPr>
      <w:r>
        <w:rPr>
          <w:rFonts w:hint="eastAsia"/>
        </w:rPr>
        <w:t>凡不满足</w:t>
      </w:r>
      <w:r>
        <w:t>4.1</w:t>
      </w:r>
      <w:r>
        <w:rPr>
          <w:rFonts w:hint="eastAsia"/>
        </w:rPr>
        <w:t>条正常使用条件之外的特殊条件，应在</w:t>
      </w:r>
      <w:r>
        <w:rPr>
          <w:rFonts w:hint="eastAsia"/>
          <w:lang w:eastAsia="zh-CN"/>
        </w:rPr>
        <w:t>招标</w:t>
      </w:r>
      <w:r>
        <w:t>技术规范</w:t>
      </w:r>
      <w:r>
        <w:rPr>
          <w:rFonts w:hint="eastAsia"/>
          <w:lang w:eastAsia="zh-CN"/>
        </w:rPr>
        <w:t>书</w:t>
      </w:r>
      <w:r>
        <w:rPr>
          <w:rFonts w:hint="eastAsia"/>
        </w:rPr>
        <w:t>的相应技术条款及表</w:t>
      </w:r>
      <w:r>
        <w:t xml:space="preserve">11 </w:t>
      </w:r>
      <w:r>
        <w:rPr>
          <w:rFonts w:hint="eastAsia"/>
        </w:rPr>
        <w:t>中对有关技术参数及要求加以修正、说明，并在提交需求计划及招</w:t>
      </w:r>
      <w:r>
        <w:rPr>
          <w:rFonts w:hint="eastAsia"/>
          <w:lang w:eastAsia="zh-CN"/>
        </w:rPr>
        <w:t>标</w:t>
      </w:r>
      <w:r>
        <w:t>技术规范</w:t>
      </w:r>
      <w:r>
        <w:rPr>
          <w:rFonts w:hint="eastAsia"/>
          <w:lang w:eastAsia="zh-CN"/>
        </w:rPr>
        <w:t>书时</w:t>
      </w:r>
      <w:r>
        <w:rPr>
          <w:rFonts w:hint="eastAsia"/>
        </w:rPr>
        <w:t>向物资部门特别明确。</w:t>
      </w:r>
    </w:p>
    <w:p>
      <w:pPr>
        <w:pStyle w:val="19"/>
        <w:spacing w:line="360" w:lineRule="auto"/>
        <w:rPr>
          <w:rFonts w:ascii="Times New Roman" w:hAnsi="Times New Roman"/>
          <w:kern w:val="2"/>
          <w:sz w:val="21"/>
        </w:rPr>
      </w:pPr>
      <w:r>
        <w:rPr>
          <w:rFonts w:ascii="Times New Roman" w:hAnsi="Times New Roman" w:eastAsia="黑体"/>
          <w:b/>
          <w:sz w:val="21"/>
          <w:szCs w:val="20"/>
        </w:rPr>
        <w:t>4.2.1</w:t>
      </w:r>
      <w:r>
        <w:rPr>
          <w:rFonts w:hint="eastAsia" w:ascii="Times New Roman" w:hAnsi="Times New Roman" w:eastAsia="黑体"/>
          <w:b/>
          <w:sz w:val="21"/>
          <w:szCs w:val="20"/>
        </w:rPr>
        <w:t xml:space="preserve"> </w:t>
      </w:r>
      <w:r>
        <w:rPr>
          <w:rFonts w:hint="eastAsia" w:ascii="Times New Roman" w:hAnsi="Times New Roman"/>
          <w:kern w:val="2"/>
          <w:sz w:val="21"/>
          <w:szCs w:val="20"/>
        </w:rPr>
        <w:t>凡是需要满足</w:t>
      </w:r>
      <w:r>
        <w:rPr>
          <w:rFonts w:ascii="Times New Roman" w:hAnsi="Times New Roman"/>
          <w:kern w:val="2"/>
          <w:sz w:val="21"/>
          <w:szCs w:val="20"/>
        </w:rPr>
        <w:t>4.1</w:t>
      </w:r>
      <w:r>
        <w:rPr>
          <w:rFonts w:hint="eastAsia" w:ascii="Times New Roman" w:hAnsi="Times New Roman"/>
          <w:kern w:val="2"/>
          <w:sz w:val="21"/>
          <w:szCs w:val="20"/>
        </w:rPr>
        <w:t>条规定的正常环境条件之外的特殊使用条件，应在询价和订货时说明。</w:t>
      </w:r>
    </w:p>
    <w:p>
      <w:pPr>
        <w:pStyle w:val="19"/>
        <w:spacing w:line="360" w:lineRule="auto"/>
        <w:rPr>
          <w:rFonts w:ascii="Times New Roman" w:hAnsi="Times New Roman"/>
          <w:kern w:val="2"/>
          <w:sz w:val="21"/>
          <w:szCs w:val="20"/>
        </w:rPr>
      </w:pPr>
      <w:r>
        <w:rPr>
          <w:rFonts w:ascii="Times New Roman" w:hAnsi="Times New Roman" w:eastAsia="黑体"/>
          <w:b/>
          <w:sz w:val="21"/>
          <w:szCs w:val="20"/>
        </w:rPr>
        <w:t xml:space="preserve">4.2.2 </w:t>
      </w:r>
      <w:r>
        <w:rPr>
          <w:rFonts w:hint="eastAsia" w:ascii="Times New Roman" w:hAnsi="Times New Roman"/>
          <w:kern w:val="2"/>
          <w:sz w:val="21"/>
          <w:szCs w:val="20"/>
        </w:rPr>
        <w:t>对周围环境空气温度高于</w:t>
      </w:r>
      <w:r>
        <w:rPr>
          <w:rFonts w:ascii="Times New Roman" w:hAnsi="Times New Roman"/>
          <w:kern w:val="2"/>
          <w:sz w:val="21"/>
          <w:szCs w:val="20"/>
        </w:rPr>
        <w:t>40</w:t>
      </w:r>
      <w:r>
        <w:rPr>
          <w:rFonts w:hint="eastAsia" w:ascii="Times New Roman" w:hAnsi="Times New Roman"/>
          <w:kern w:val="2"/>
          <w:sz w:val="21"/>
          <w:szCs w:val="20"/>
        </w:rPr>
        <w:t>℃处的设备，其外绝缘在干燥状态下的试验电压应取本标准的额定耐受电压值乘以温度校正因数</w:t>
      </w:r>
      <w:r>
        <w:rPr>
          <w:rFonts w:ascii="Times New Roman" w:hAnsi="Times New Roman"/>
          <w:kern w:val="2"/>
          <w:sz w:val="21"/>
          <w:szCs w:val="20"/>
        </w:rPr>
        <w:t>Kt</w:t>
      </w:r>
    </w:p>
    <w:p>
      <w:pPr>
        <w:spacing w:line="360" w:lineRule="auto"/>
        <w:jc w:val="center"/>
        <w:rPr>
          <w:szCs w:val="20"/>
        </w:rPr>
      </w:pPr>
      <w:r>
        <w:rPr>
          <w:szCs w:val="20"/>
        </w:rPr>
        <w:pict>
          <v:shape id="_x0000_i1025" o:spt="75" type="#_x0000_t75" style="height:18pt;width:117pt;" filled="f" o:preferrelative="t" stroked="f" coordsize="21600,21600">
            <v:path/>
            <v:fill on="f" focussize="0,0"/>
            <v:stroke on="f" joinstyle="miter"/>
            <v:imagedata r:id="rId18" o:title=""/>
            <o:lock v:ext="edit" aspectratio="t"/>
            <w10:wrap type="none"/>
            <w10:anchorlock/>
          </v:shape>
        </w:pict>
      </w:r>
    </w:p>
    <w:p>
      <w:pPr>
        <w:adjustRightInd w:val="0"/>
        <w:spacing w:line="360" w:lineRule="auto"/>
        <w:ind w:firstLine="420" w:firstLineChars="200"/>
        <w:rPr>
          <w:szCs w:val="20"/>
        </w:rPr>
      </w:pPr>
      <w:r>
        <w:rPr>
          <w:rFonts w:hint="eastAsia"/>
          <w:szCs w:val="20"/>
        </w:rPr>
        <w:t>式中：</w:t>
      </w:r>
      <w:r>
        <w:rPr>
          <w:szCs w:val="20"/>
        </w:rPr>
        <w:t>T ——</w:t>
      </w:r>
      <w:r>
        <w:rPr>
          <w:rFonts w:hint="eastAsia"/>
          <w:szCs w:val="20"/>
        </w:rPr>
        <w:t>环境空气温度，℃）</w:t>
      </w:r>
    </w:p>
    <w:p>
      <w:pPr>
        <w:pStyle w:val="19"/>
        <w:spacing w:line="360" w:lineRule="auto"/>
        <w:rPr>
          <w:rFonts w:ascii="Times New Roman" w:hAnsi="Times New Roman"/>
          <w:kern w:val="2"/>
          <w:sz w:val="21"/>
          <w:szCs w:val="20"/>
        </w:rPr>
      </w:pPr>
      <w:r>
        <w:rPr>
          <w:rFonts w:ascii="Times New Roman" w:hAnsi="Times New Roman" w:eastAsia="黑体"/>
          <w:b/>
          <w:sz w:val="21"/>
          <w:szCs w:val="20"/>
        </w:rPr>
        <w:t>4.2.3</w:t>
      </w:r>
      <w:r>
        <w:rPr>
          <w:rFonts w:ascii="Times New Roman" w:hAnsi="Times New Roman"/>
          <w:kern w:val="2"/>
          <w:sz w:val="21"/>
          <w:szCs w:val="20"/>
        </w:rPr>
        <w:t xml:space="preserve"> </w:t>
      </w:r>
      <w:r>
        <w:rPr>
          <w:rFonts w:hint="eastAsia" w:ascii="Times New Roman" w:hAnsi="Times New Roman"/>
          <w:kern w:val="2"/>
          <w:sz w:val="21"/>
          <w:szCs w:val="20"/>
        </w:rPr>
        <w:t>对用于海拔高于</w:t>
      </w:r>
      <w:r>
        <w:rPr>
          <w:rFonts w:ascii="Times New Roman" w:hAnsi="Times New Roman"/>
          <w:kern w:val="2"/>
          <w:sz w:val="21"/>
          <w:szCs w:val="20"/>
        </w:rPr>
        <w:t>1000m</w:t>
      </w:r>
      <w:r>
        <w:rPr>
          <w:rFonts w:hint="eastAsia" w:ascii="Times New Roman" w:hAnsi="Times New Roman"/>
          <w:kern w:val="2"/>
          <w:sz w:val="21"/>
          <w:szCs w:val="20"/>
        </w:rPr>
        <w:t>，但不超过</w:t>
      </w:r>
      <w:r>
        <w:rPr>
          <w:rFonts w:ascii="Times New Roman" w:hAnsi="Times New Roman"/>
          <w:kern w:val="2"/>
          <w:sz w:val="21"/>
          <w:szCs w:val="20"/>
        </w:rPr>
        <w:t xml:space="preserve">4000m </w:t>
      </w:r>
      <w:r>
        <w:rPr>
          <w:rFonts w:hint="eastAsia" w:ascii="Times New Roman" w:hAnsi="Times New Roman"/>
          <w:kern w:val="2"/>
          <w:sz w:val="21"/>
          <w:szCs w:val="20"/>
        </w:rPr>
        <w:t>处的设备的外绝缘，海拔每升高</w:t>
      </w:r>
      <w:r>
        <w:rPr>
          <w:rFonts w:ascii="Times New Roman" w:hAnsi="Times New Roman"/>
          <w:kern w:val="2"/>
          <w:sz w:val="21"/>
          <w:szCs w:val="20"/>
        </w:rPr>
        <w:t>100m</w:t>
      </w:r>
      <w:r>
        <w:rPr>
          <w:rFonts w:hint="eastAsia" w:ascii="Times New Roman" w:hAnsi="Times New Roman"/>
          <w:kern w:val="2"/>
          <w:sz w:val="21"/>
          <w:szCs w:val="20"/>
        </w:rPr>
        <w:t>，绝缘强度约降低</w:t>
      </w:r>
      <w:r>
        <w:rPr>
          <w:rFonts w:ascii="Times New Roman" w:hAnsi="Times New Roman"/>
          <w:kern w:val="2"/>
          <w:sz w:val="21"/>
          <w:szCs w:val="20"/>
        </w:rPr>
        <w:t>1%</w:t>
      </w:r>
      <w:r>
        <w:rPr>
          <w:rFonts w:hint="eastAsia" w:ascii="Times New Roman" w:hAnsi="Times New Roman"/>
          <w:kern w:val="2"/>
          <w:sz w:val="21"/>
          <w:szCs w:val="20"/>
        </w:rPr>
        <w:t>，在海拔不高于</w:t>
      </w:r>
      <w:r>
        <w:rPr>
          <w:rFonts w:ascii="Times New Roman" w:hAnsi="Times New Roman"/>
          <w:kern w:val="2"/>
          <w:sz w:val="21"/>
          <w:szCs w:val="20"/>
        </w:rPr>
        <w:t xml:space="preserve">1000m </w:t>
      </w:r>
      <w:r>
        <w:rPr>
          <w:rFonts w:hint="eastAsia" w:ascii="Times New Roman" w:hAnsi="Times New Roman"/>
          <w:kern w:val="2"/>
          <w:sz w:val="21"/>
          <w:szCs w:val="20"/>
        </w:rPr>
        <w:t>的地点试验时，其试验电压应按本标准规定的额定耐受电压乘以海拔校正因数</w:t>
      </w:r>
      <w:r>
        <w:rPr>
          <w:rFonts w:ascii="Times New Roman" w:hAnsi="Times New Roman"/>
          <w:kern w:val="2"/>
          <w:sz w:val="21"/>
          <w:szCs w:val="20"/>
        </w:rPr>
        <w:t>Ka</w:t>
      </w:r>
      <w:r>
        <w:rPr>
          <w:rFonts w:hint="eastAsia" w:ascii="Times New Roman" w:hAnsi="Times New Roman"/>
          <w:kern w:val="2"/>
          <w:sz w:val="21"/>
          <w:szCs w:val="20"/>
        </w:rPr>
        <w:t>。</w:t>
      </w:r>
    </w:p>
    <w:p>
      <w:pPr>
        <w:spacing w:line="360" w:lineRule="auto"/>
        <w:jc w:val="center"/>
        <w:rPr>
          <w:sz w:val="24"/>
          <w:szCs w:val="20"/>
        </w:rPr>
      </w:pPr>
      <w:r>
        <w:rPr>
          <w:sz w:val="24"/>
        </w:rPr>
        <w:pict>
          <v:shape id="_x0000_i1026" o:spt="75" type="#_x0000_t75" style="height:31.8pt;width:99pt;" filled="f" o:preferrelative="t" stroked="f" coordsize="21600,21600">
            <v:path/>
            <v:fill on="f" focussize="0,0"/>
            <v:stroke on="f" joinstyle="miter"/>
            <v:imagedata r:id="rId19" o:title=""/>
            <o:lock v:ext="edit" aspectratio="t"/>
            <w10:wrap type="none"/>
            <w10:anchorlock/>
          </v:shape>
        </w:pict>
      </w:r>
    </w:p>
    <w:p>
      <w:pPr>
        <w:adjustRightInd w:val="0"/>
        <w:spacing w:line="360" w:lineRule="auto"/>
        <w:ind w:firstLine="420" w:firstLineChars="200"/>
        <w:rPr>
          <w:szCs w:val="20"/>
        </w:rPr>
      </w:pPr>
      <w:r>
        <w:rPr>
          <w:rFonts w:hint="eastAsia"/>
          <w:szCs w:val="20"/>
        </w:rPr>
        <w:t>式中：</w:t>
      </w:r>
      <w:r>
        <w:rPr>
          <w:szCs w:val="20"/>
        </w:rPr>
        <w:t>H ——</w:t>
      </w:r>
      <w:r>
        <w:rPr>
          <w:rFonts w:hint="eastAsia"/>
          <w:szCs w:val="20"/>
        </w:rPr>
        <w:t>设备安装地点的海拔高度，</w:t>
      </w:r>
      <w:r>
        <w:rPr>
          <w:szCs w:val="20"/>
        </w:rPr>
        <w:t>m</w:t>
      </w:r>
      <w:r>
        <w:rPr>
          <w:rFonts w:hint="eastAsia"/>
          <w:szCs w:val="20"/>
        </w:rPr>
        <w:t>。</w:t>
      </w:r>
    </w:p>
    <w:p>
      <w:pPr>
        <w:pStyle w:val="188"/>
        <w:rPr>
          <w:rFonts w:ascii="Times New Roman" w:cs="Times New Roman"/>
          <w:b/>
        </w:rPr>
      </w:pPr>
      <w:bookmarkStart w:id="45" w:name="_Toc11226"/>
      <w:bookmarkStart w:id="46" w:name="_Toc417246349"/>
      <w:r>
        <w:rPr>
          <w:rFonts w:ascii="Times New Roman" w:cs="Times New Roman"/>
          <w:b/>
        </w:rPr>
        <w:t xml:space="preserve">4.3 </w:t>
      </w:r>
      <w:r>
        <w:rPr>
          <w:rFonts w:hint="eastAsia" w:ascii="Times New Roman" w:cs="Times New Roman"/>
        </w:rPr>
        <w:t>系统条件要求</w:t>
      </w:r>
      <w:bookmarkEnd w:id="45"/>
    </w:p>
    <w:bookmarkEnd w:id="46"/>
    <w:p>
      <w:pPr>
        <w:adjustRightInd w:val="0"/>
        <w:spacing w:line="360" w:lineRule="auto"/>
        <w:ind w:firstLine="420" w:firstLineChars="200"/>
      </w:pPr>
      <w:r>
        <w:t>1</w:t>
      </w:r>
      <w:r>
        <w:rPr>
          <w:rFonts w:hint="eastAsia"/>
        </w:rPr>
        <w:t>）系统额定频率：</w:t>
      </w:r>
      <w:r>
        <w:t>50Hz</w:t>
      </w:r>
    </w:p>
    <w:p>
      <w:pPr>
        <w:adjustRightInd w:val="0"/>
        <w:spacing w:line="360" w:lineRule="auto"/>
        <w:ind w:firstLine="420" w:firstLineChars="200"/>
      </w:pPr>
      <w:r>
        <w:t>2</w:t>
      </w:r>
      <w:r>
        <w:rPr>
          <w:rFonts w:hint="eastAsia"/>
        </w:rPr>
        <w:t>）系统标称电压：</w:t>
      </w:r>
      <w:r>
        <w:t>10kV</w:t>
      </w:r>
    </w:p>
    <w:p>
      <w:pPr>
        <w:adjustRightInd w:val="0"/>
        <w:spacing w:line="360" w:lineRule="auto"/>
        <w:ind w:firstLine="420" w:firstLineChars="200"/>
      </w:pPr>
      <w:r>
        <w:t>3</w:t>
      </w:r>
      <w:r>
        <w:rPr>
          <w:rFonts w:hint="eastAsia"/>
        </w:rPr>
        <w:t>）系统最高运行电压：</w:t>
      </w:r>
      <w:r>
        <w:t>12kV</w:t>
      </w:r>
    </w:p>
    <w:p>
      <w:pPr>
        <w:adjustRightInd w:val="0"/>
        <w:spacing w:line="360" w:lineRule="auto"/>
        <w:ind w:firstLine="420" w:firstLineChars="200"/>
      </w:pPr>
      <w:r>
        <w:t>4</w:t>
      </w:r>
      <w:r>
        <w:rPr>
          <w:rFonts w:hint="eastAsia"/>
        </w:rPr>
        <w:t>）导体对地或金属屏蔽之间的额定工频电压（</w:t>
      </w:r>
      <w:r>
        <w:t>U0</w:t>
      </w:r>
      <w:r>
        <w:rPr>
          <w:rFonts w:hint="eastAsia"/>
        </w:rPr>
        <w:t>）：</w:t>
      </w:r>
      <w:r>
        <w:t>8.7kV</w:t>
      </w:r>
    </w:p>
    <w:p>
      <w:pPr>
        <w:adjustRightInd w:val="0"/>
        <w:spacing w:line="360" w:lineRule="auto"/>
        <w:ind w:firstLine="420" w:firstLineChars="200"/>
      </w:pPr>
      <w:r>
        <w:t>5</w:t>
      </w:r>
      <w:r>
        <w:rPr>
          <w:rFonts w:hint="eastAsia"/>
        </w:rPr>
        <w:t>）系统中性点接地方式：不接地、消弧线圈接地和小电阻接地。</w:t>
      </w:r>
    </w:p>
    <w:p>
      <w:pPr>
        <w:pStyle w:val="186"/>
        <w:numPr>
          <w:ilvl w:val="0"/>
          <w:numId w:val="1"/>
        </w:numPr>
        <w:tabs>
          <w:tab w:val="clear" w:pos="425"/>
        </w:tabs>
        <w:spacing w:before="312" w:after="312"/>
        <w:ind w:left="0" w:firstLine="0"/>
        <w:rPr>
          <w:rFonts w:ascii="Times New Roman" w:cs="Times New Roman"/>
        </w:rPr>
      </w:pPr>
      <w:bookmarkStart w:id="47" w:name="_Toc5286"/>
      <w:bookmarkStart w:id="48" w:name="_Toc305941522"/>
      <w:bookmarkStart w:id="49" w:name="_Toc305941231"/>
      <w:bookmarkStart w:id="50" w:name="_Toc24503"/>
      <w:bookmarkStart w:id="51" w:name="_Toc417246350"/>
      <w:bookmarkStart w:id="52" w:name="_Toc21353"/>
      <w:r>
        <w:rPr>
          <w:rFonts w:hint="eastAsia" w:ascii="Times New Roman" w:cs="Times New Roman"/>
        </w:rPr>
        <w:t>技术要</w:t>
      </w:r>
      <w:bookmarkEnd w:id="41"/>
      <w:bookmarkEnd w:id="42"/>
      <w:r>
        <w:rPr>
          <w:rFonts w:hint="eastAsia" w:ascii="Times New Roman" w:cs="Times New Roman"/>
        </w:rPr>
        <w:t>求</w:t>
      </w:r>
      <w:bookmarkEnd w:id="47"/>
    </w:p>
    <w:bookmarkEnd w:id="48"/>
    <w:bookmarkEnd w:id="49"/>
    <w:bookmarkEnd w:id="50"/>
    <w:bookmarkEnd w:id="51"/>
    <w:bookmarkEnd w:id="52"/>
    <w:p>
      <w:pPr>
        <w:pStyle w:val="188"/>
        <w:rPr>
          <w:rFonts w:ascii="Times New Roman" w:cs="Times New Roman"/>
          <w:b/>
        </w:rPr>
      </w:pPr>
      <w:bookmarkStart w:id="53" w:name="_Toc251422135"/>
      <w:bookmarkStart w:id="54" w:name="_Toc305941232"/>
      <w:bookmarkStart w:id="55" w:name="_Toc276492376"/>
      <w:bookmarkStart w:id="56" w:name="_Toc8613"/>
      <w:bookmarkStart w:id="57" w:name="_Toc417246351"/>
      <w:r>
        <w:rPr>
          <w:rFonts w:ascii="Times New Roman" w:cs="Times New Roman"/>
          <w:b/>
        </w:rPr>
        <w:t xml:space="preserve">5.1 </w:t>
      </w:r>
      <w:r>
        <w:rPr>
          <w:rFonts w:hint="eastAsia" w:ascii="Times New Roman" w:cs="Times New Roman"/>
        </w:rPr>
        <w:t>基本参数（</w:t>
      </w:r>
      <w:bookmarkEnd w:id="53"/>
      <w:bookmarkEnd w:id="54"/>
      <w:bookmarkEnd w:id="55"/>
      <w:r>
        <w:rPr>
          <w:rFonts w:hint="eastAsia" w:ascii="Times New Roman" w:cs="Times New Roman"/>
        </w:rPr>
        <w:t>参数见附录</w:t>
      </w:r>
      <w:r>
        <w:rPr>
          <w:rFonts w:ascii="Times New Roman" w:cs="Times New Roman"/>
        </w:rPr>
        <w:t>A-F）</w:t>
      </w:r>
      <w:bookmarkEnd w:id="56"/>
    </w:p>
    <w:bookmarkEnd w:id="57"/>
    <w:p>
      <w:pPr>
        <w:pStyle w:val="19"/>
        <w:spacing w:line="360" w:lineRule="auto"/>
        <w:rPr>
          <w:rFonts w:ascii="Times New Roman" w:hAnsi="Times New Roman"/>
          <w:kern w:val="2"/>
          <w:sz w:val="21"/>
          <w:szCs w:val="20"/>
        </w:rPr>
      </w:pPr>
      <w:bookmarkStart w:id="58" w:name="_Toc306270596"/>
      <w:bookmarkStart w:id="59" w:name="_Toc306270876"/>
      <w:r>
        <w:rPr>
          <w:rFonts w:ascii="Times New Roman" w:hAnsi="Times New Roman" w:eastAsia="黑体"/>
          <w:b/>
          <w:sz w:val="21"/>
          <w:szCs w:val="20"/>
        </w:rPr>
        <w:t>5.1.1</w:t>
      </w:r>
      <w:r>
        <w:rPr>
          <w:rFonts w:hint="eastAsia" w:ascii="Times New Roman" w:hAnsi="Times New Roman"/>
          <w:kern w:val="2"/>
          <w:sz w:val="21"/>
          <w:szCs w:val="20"/>
        </w:rPr>
        <w:t>户内终端性能要求</w:t>
      </w:r>
    </w:p>
    <w:bookmarkEnd w:id="58"/>
    <w:bookmarkEnd w:id="59"/>
    <w:p>
      <w:pPr>
        <w:pStyle w:val="19"/>
        <w:spacing w:line="360" w:lineRule="auto"/>
        <w:rPr>
          <w:rFonts w:ascii="Times New Roman" w:hAnsi="Times New Roman"/>
          <w:kern w:val="2"/>
          <w:sz w:val="21"/>
          <w:szCs w:val="20"/>
        </w:rPr>
      </w:pPr>
      <w:bookmarkStart w:id="60" w:name="_Toc306270877"/>
      <w:bookmarkStart w:id="61" w:name="_Toc306270597"/>
      <w:r>
        <w:rPr>
          <w:rFonts w:ascii="Times New Roman" w:hAnsi="Times New Roman" w:eastAsia="黑体"/>
          <w:b/>
          <w:sz w:val="21"/>
          <w:szCs w:val="20"/>
        </w:rPr>
        <w:t>5.1.2</w:t>
      </w:r>
      <w:r>
        <w:rPr>
          <w:rFonts w:ascii="Times New Roman" w:hAnsi="Times New Roman"/>
          <w:kern w:val="2"/>
          <w:sz w:val="21"/>
          <w:szCs w:val="20"/>
        </w:rPr>
        <w:t xml:space="preserve"> </w:t>
      </w:r>
      <w:r>
        <w:rPr>
          <w:rFonts w:hint="eastAsia" w:ascii="Times New Roman" w:hAnsi="Times New Roman"/>
          <w:kern w:val="2"/>
          <w:sz w:val="21"/>
          <w:szCs w:val="20"/>
        </w:rPr>
        <w:t>户外终端性能要求</w:t>
      </w:r>
    </w:p>
    <w:bookmarkEnd w:id="60"/>
    <w:bookmarkEnd w:id="61"/>
    <w:p>
      <w:pPr>
        <w:pStyle w:val="19"/>
        <w:spacing w:line="360" w:lineRule="auto"/>
        <w:rPr>
          <w:rFonts w:ascii="Times New Roman" w:hAnsi="Times New Roman"/>
          <w:kern w:val="2"/>
          <w:sz w:val="21"/>
          <w:szCs w:val="20"/>
        </w:rPr>
      </w:pPr>
      <w:bookmarkStart w:id="62" w:name="_Toc306270878"/>
      <w:bookmarkStart w:id="63" w:name="_Toc306270598"/>
      <w:r>
        <w:rPr>
          <w:rFonts w:ascii="Times New Roman" w:hAnsi="Times New Roman" w:eastAsia="黑体"/>
          <w:b/>
          <w:sz w:val="21"/>
          <w:szCs w:val="20"/>
        </w:rPr>
        <w:t>5.1.3</w:t>
      </w:r>
      <w:r>
        <w:rPr>
          <w:rFonts w:ascii="Times New Roman" w:hAnsi="Times New Roman"/>
          <w:kern w:val="2"/>
          <w:sz w:val="21"/>
          <w:szCs w:val="20"/>
        </w:rPr>
        <w:t xml:space="preserve"> </w:t>
      </w:r>
      <w:r>
        <w:rPr>
          <w:rFonts w:hint="eastAsia" w:ascii="Times New Roman" w:hAnsi="Times New Roman"/>
          <w:kern w:val="2"/>
          <w:sz w:val="21"/>
          <w:szCs w:val="20"/>
        </w:rPr>
        <w:t>电缆直通接头性能要求</w:t>
      </w:r>
    </w:p>
    <w:bookmarkEnd w:id="62"/>
    <w:bookmarkEnd w:id="63"/>
    <w:p>
      <w:pPr>
        <w:pStyle w:val="19"/>
        <w:spacing w:line="360" w:lineRule="auto"/>
        <w:rPr>
          <w:rFonts w:ascii="Times New Roman" w:hAnsi="Times New Roman"/>
          <w:kern w:val="2"/>
          <w:sz w:val="21"/>
          <w:szCs w:val="20"/>
        </w:rPr>
      </w:pPr>
      <w:bookmarkStart w:id="64" w:name="_Toc306270599"/>
      <w:bookmarkStart w:id="65" w:name="_Toc306270879"/>
      <w:r>
        <w:rPr>
          <w:rFonts w:ascii="Times New Roman" w:hAnsi="Times New Roman" w:eastAsia="黑体"/>
          <w:b/>
          <w:sz w:val="21"/>
          <w:szCs w:val="20"/>
        </w:rPr>
        <w:t>5.1.4</w:t>
      </w:r>
      <w:r>
        <w:rPr>
          <w:rFonts w:ascii="Times New Roman" w:hAnsi="Times New Roman"/>
          <w:kern w:val="2"/>
          <w:sz w:val="21"/>
          <w:szCs w:val="20"/>
        </w:rPr>
        <w:t xml:space="preserve"> </w:t>
      </w:r>
      <w:r>
        <w:rPr>
          <w:rFonts w:hint="eastAsia" w:ascii="Times New Roman" w:hAnsi="Times New Roman"/>
          <w:kern w:val="2"/>
          <w:sz w:val="21"/>
          <w:szCs w:val="20"/>
        </w:rPr>
        <w:t>三元乙丙橡胶绝缘料性能</w:t>
      </w:r>
    </w:p>
    <w:bookmarkEnd w:id="64"/>
    <w:bookmarkEnd w:id="65"/>
    <w:p>
      <w:pPr>
        <w:pStyle w:val="19"/>
        <w:spacing w:line="360" w:lineRule="auto"/>
        <w:rPr>
          <w:rFonts w:ascii="Times New Roman" w:hAnsi="Times New Roman"/>
          <w:kern w:val="2"/>
          <w:sz w:val="21"/>
          <w:szCs w:val="20"/>
        </w:rPr>
      </w:pPr>
      <w:bookmarkStart w:id="66" w:name="_Toc306270600"/>
      <w:bookmarkStart w:id="67" w:name="_Toc306270880"/>
      <w:r>
        <w:rPr>
          <w:rFonts w:ascii="Times New Roman" w:hAnsi="Times New Roman" w:eastAsia="黑体"/>
          <w:b/>
          <w:sz w:val="21"/>
          <w:szCs w:val="20"/>
        </w:rPr>
        <w:t>5.1.5</w:t>
      </w:r>
      <w:r>
        <w:rPr>
          <w:rFonts w:ascii="Times New Roman" w:hAnsi="Times New Roman"/>
          <w:kern w:val="2"/>
          <w:sz w:val="21"/>
          <w:szCs w:val="20"/>
        </w:rPr>
        <w:t xml:space="preserve"> </w:t>
      </w:r>
      <w:r>
        <w:rPr>
          <w:rFonts w:hint="eastAsia" w:ascii="Times New Roman" w:hAnsi="Times New Roman"/>
          <w:kern w:val="2"/>
          <w:sz w:val="21"/>
          <w:szCs w:val="20"/>
        </w:rPr>
        <w:t>硅橡胶绝缘料性能</w:t>
      </w:r>
    </w:p>
    <w:bookmarkEnd w:id="66"/>
    <w:bookmarkEnd w:id="67"/>
    <w:p>
      <w:pPr>
        <w:pStyle w:val="19"/>
        <w:spacing w:line="360" w:lineRule="auto"/>
        <w:rPr>
          <w:rFonts w:ascii="Times New Roman" w:hAnsi="Times New Roman"/>
          <w:kern w:val="2"/>
          <w:sz w:val="21"/>
          <w:szCs w:val="20"/>
        </w:rPr>
      </w:pPr>
      <w:bookmarkStart w:id="68" w:name="_Toc306270881"/>
      <w:bookmarkStart w:id="69" w:name="_Toc306270601"/>
      <w:r>
        <w:rPr>
          <w:rFonts w:ascii="Times New Roman" w:hAnsi="Times New Roman" w:eastAsia="黑体"/>
          <w:b/>
          <w:sz w:val="21"/>
          <w:szCs w:val="20"/>
        </w:rPr>
        <w:t>5.1.6</w:t>
      </w:r>
      <w:r>
        <w:rPr>
          <w:rFonts w:ascii="Times New Roman" w:hAnsi="Times New Roman"/>
          <w:kern w:val="2"/>
          <w:sz w:val="21"/>
          <w:szCs w:val="20"/>
        </w:rPr>
        <w:t xml:space="preserve"> 绝缘混合剂</w:t>
      </w:r>
      <w:r>
        <w:rPr>
          <w:rFonts w:hint="eastAsia" w:ascii="Times New Roman" w:hAnsi="Times New Roman"/>
          <w:kern w:val="2"/>
          <w:sz w:val="21"/>
          <w:szCs w:val="20"/>
        </w:rPr>
        <w:t>的性能</w:t>
      </w:r>
    </w:p>
    <w:bookmarkEnd w:id="68"/>
    <w:bookmarkEnd w:id="69"/>
    <w:p>
      <w:pPr>
        <w:pStyle w:val="19"/>
        <w:spacing w:line="360" w:lineRule="auto"/>
        <w:rPr>
          <w:rFonts w:ascii="Times New Roman" w:hAnsi="Times New Roman"/>
          <w:kern w:val="2"/>
          <w:sz w:val="21"/>
          <w:szCs w:val="20"/>
        </w:rPr>
      </w:pPr>
      <w:r>
        <w:rPr>
          <w:rFonts w:ascii="Times New Roman" w:hAnsi="Times New Roman" w:eastAsia="黑体"/>
          <w:b/>
          <w:sz w:val="21"/>
          <w:szCs w:val="20"/>
        </w:rPr>
        <w:t>5.1.7</w:t>
      </w:r>
      <w:r>
        <w:rPr>
          <w:rFonts w:ascii="Times New Roman" w:hAnsi="Times New Roman"/>
          <w:kern w:val="2"/>
          <w:sz w:val="21"/>
          <w:szCs w:val="20"/>
        </w:rPr>
        <w:t xml:space="preserve"> </w:t>
      </w:r>
      <w:r>
        <w:rPr>
          <w:rFonts w:hint="eastAsia" w:ascii="Times New Roman" w:hAnsi="Times New Roman"/>
          <w:kern w:val="2"/>
          <w:sz w:val="21"/>
          <w:szCs w:val="20"/>
        </w:rPr>
        <w:t>线耳或压接管</w:t>
      </w:r>
    </w:p>
    <w:p>
      <w:pPr>
        <w:spacing w:line="360" w:lineRule="auto"/>
        <w:ind w:firstLine="420" w:firstLineChars="200"/>
        <w:rPr>
          <w:szCs w:val="20"/>
        </w:rPr>
      </w:pPr>
      <w:r>
        <w:rPr>
          <w:rFonts w:hint="eastAsia"/>
          <w:color w:val="000000"/>
        </w:rPr>
        <w:t>应随电缆附</w:t>
      </w:r>
      <w:r>
        <w:rPr>
          <w:rFonts w:hint="eastAsia"/>
          <w:szCs w:val="20"/>
        </w:rPr>
        <w:t>件配置与截面相适应的线耳或压接管，按《电线电缆导体用压接型铜、铝接线端子和连接管》（</w:t>
      </w:r>
      <w:r>
        <w:rPr>
          <w:szCs w:val="20"/>
        </w:rPr>
        <w:t>GB 14315</w:t>
      </w:r>
      <w:r>
        <w:rPr>
          <w:rFonts w:hint="eastAsia"/>
          <w:szCs w:val="20"/>
        </w:rPr>
        <w:t>）执行。</w:t>
      </w:r>
    </w:p>
    <w:p>
      <w:pPr>
        <w:pStyle w:val="188"/>
        <w:rPr>
          <w:rFonts w:ascii="Times New Roman" w:cs="Times New Roman"/>
          <w:b/>
        </w:rPr>
      </w:pPr>
      <w:bookmarkStart w:id="70" w:name="_Toc10736"/>
      <w:bookmarkStart w:id="71" w:name="_Toc305941235"/>
      <w:bookmarkStart w:id="72" w:name="_Toc417246352"/>
      <w:r>
        <w:rPr>
          <w:rFonts w:ascii="Times New Roman" w:cs="Times New Roman"/>
          <w:b/>
        </w:rPr>
        <w:t xml:space="preserve">5.2 </w:t>
      </w:r>
      <w:r>
        <w:rPr>
          <w:rFonts w:hint="eastAsia" w:ascii="Times New Roman" w:cs="Times New Roman"/>
        </w:rPr>
        <w:t>设计和结构要求</w:t>
      </w:r>
      <w:bookmarkEnd w:id="70"/>
    </w:p>
    <w:bookmarkEnd w:id="0"/>
    <w:bookmarkEnd w:id="71"/>
    <w:bookmarkEnd w:id="72"/>
    <w:p>
      <w:pPr>
        <w:pStyle w:val="190"/>
        <w:rPr>
          <w:rFonts w:hAnsi="Times New Roman" w:cs="Times New Roman"/>
          <w:b/>
        </w:rPr>
      </w:pPr>
      <w:bookmarkStart w:id="73" w:name="_Toc305941236"/>
      <w:bookmarkStart w:id="74" w:name="_Toc285717862"/>
      <w:bookmarkStart w:id="75" w:name="_Toc305941525"/>
      <w:bookmarkStart w:id="76" w:name="_Toc305940425"/>
      <w:bookmarkStart w:id="77" w:name="_Toc283111326"/>
      <w:bookmarkStart w:id="78" w:name="_Toc276490905"/>
      <w:bookmarkStart w:id="79" w:name="_Toc276492417"/>
      <w:bookmarkStart w:id="80" w:name="_Toc271281212"/>
      <w:r>
        <w:rPr>
          <w:rFonts w:hAnsi="Times New Roman" w:cs="Times New Roman"/>
          <w:b/>
        </w:rPr>
        <w:t xml:space="preserve">5.2.1 </w:t>
      </w:r>
      <w:r>
        <w:rPr>
          <w:rFonts w:hint="eastAsia" w:ascii="黑体" w:hAnsi="黑体"/>
        </w:rPr>
        <w:t>冷缩型电缆终端（参数见附录</w:t>
      </w:r>
      <w:r>
        <w:rPr>
          <w:rFonts w:ascii="黑体" w:hAnsi="黑体"/>
        </w:rPr>
        <w:t>A</w:t>
      </w:r>
      <w:r>
        <w:rPr>
          <w:rFonts w:hint="eastAsia" w:ascii="黑体" w:hAnsi="黑体"/>
        </w:rPr>
        <w:t>、</w:t>
      </w:r>
      <w:r>
        <w:rPr>
          <w:rFonts w:ascii="黑体" w:hAnsi="黑体"/>
        </w:rPr>
        <w:t>B</w:t>
      </w:r>
      <w:r>
        <w:rPr>
          <w:rFonts w:hint="eastAsia" w:ascii="黑体" w:hAnsi="黑体"/>
        </w:rPr>
        <w:t>）</w:t>
      </w:r>
    </w:p>
    <w:bookmarkEnd w:id="73"/>
    <w:bookmarkEnd w:id="74"/>
    <w:bookmarkEnd w:id="75"/>
    <w:bookmarkEnd w:id="76"/>
    <w:p>
      <w:pPr>
        <w:pStyle w:val="19"/>
        <w:spacing w:line="360" w:lineRule="auto"/>
        <w:outlineLvl w:val="3"/>
        <w:rPr>
          <w:rFonts w:ascii="Times New Roman" w:hAnsi="Times New Roman"/>
          <w:kern w:val="2"/>
          <w:sz w:val="21"/>
          <w:szCs w:val="20"/>
        </w:rPr>
      </w:pPr>
      <w:bookmarkStart w:id="81" w:name="_Toc285717863"/>
      <w:r>
        <w:rPr>
          <w:rFonts w:ascii="Times New Roman" w:hAnsi="Times New Roman"/>
          <w:b/>
          <w:kern w:val="2"/>
          <w:sz w:val="21"/>
          <w:szCs w:val="20"/>
        </w:rPr>
        <w:t>5.2.1.1</w:t>
      </w:r>
      <w:r>
        <w:rPr>
          <w:rFonts w:ascii="Times New Roman" w:hAnsi="Times New Roman"/>
          <w:kern w:val="2"/>
          <w:sz w:val="21"/>
          <w:szCs w:val="20"/>
        </w:rPr>
        <w:t xml:space="preserve"> </w:t>
      </w:r>
      <w:r>
        <w:rPr>
          <w:rFonts w:hint="eastAsia" w:ascii="Times New Roman" w:hAnsi="Times New Roman"/>
          <w:kern w:val="2"/>
          <w:sz w:val="21"/>
          <w:szCs w:val="20"/>
        </w:rPr>
        <w:t>外观要求</w:t>
      </w:r>
    </w:p>
    <w:p>
      <w:pPr>
        <w:spacing w:line="360" w:lineRule="auto"/>
        <w:ind w:firstLine="420" w:firstLineChars="200"/>
        <w:rPr>
          <w:color w:val="000000"/>
        </w:rPr>
      </w:pPr>
      <w:r>
        <w:rPr>
          <w:color w:val="000000"/>
        </w:rPr>
        <w:t>1</w:t>
      </w:r>
      <w:r>
        <w:rPr>
          <w:rFonts w:hint="eastAsia"/>
          <w:color w:val="000000"/>
        </w:rPr>
        <w:t>）电缆附件主体有明显的制造商标志和冷缩管预扩张日期（精确到月），应模制于硅橡胶主体上。</w:t>
      </w:r>
    </w:p>
    <w:p>
      <w:pPr>
        <w:spacing w:line="360" w:lineRule="auto"/>
        <w:ind w:firstLine="420" w:firstLineChars="200"/>
        <w:rPr>
          <w:color w:val="000000"/>
        </w:rPr>
      </w:pPr>
      <w:r>
        <w:rPr>
          <w:color w:val="000000"/>
        </w:rPr>
        <w:t>2</w:t>
      </w:r>
      <w:r>
        <w:rPr>
          <w:rFonts w:hint="eastAsia"/>
          <w:color w:val="000000"/>
        </w:rPr>
        <w:t>）电缆附件的所有橡胶件内外表面应光滑，无肉眼可见的因材质和工艺不善引起的斑痕、凹坑、裂纹和杂质，结构尺寸应符合图纸要求。</w:t>
      </w:r>
    </w:p>
    <w:p>
      <w:pPr>
        <w:spacing w:line="360" w:lineRule="auto"/>
        <w:ind w:firstLine="420" w:firstLineChars="200"/>
        <w:rPr>
          <w:color w:val="000000"/>
        </w:rPr>
      </w:pPr>
      <w:r>
        <w:rPr>
          <w:color w:val="000000"/>
        </w:rPr>
        <w:t>3</w:t>
      </w:r>
      <w:r>
        <w:rPr>
          <w:rFonts w:hint="eastAsia"/>
          <w:color w:val="000000"/>
        </w:rPr>
        <w:t>）户外终端采用的相色标示应具有抗紫外线老化性能</w:t>
      </w:r>
      <w:r>
        <w:rPr>
          <w:color w:val="000000"/>
        </w:rPr>
        <w:t>，供应商应提供相色标示抗紫外线老化的性能试验报告。</w:t>
      </w:r>
    </w:p>
    <w:p>
      <w:pPr>
        <w:pStyle w:val="19"/>
        <w:adjustRightInd w:val="0"/>
        <w:spacing w:line="360" w:lineRule="auto"/>
        <w:outlineLvl w:val="3"/>
        <w:rPr>
          <w:rFonts w:ascii="Times New Roman" w:hAnsi="Times New Roman"/>
          <w:kern w:val="2"/>
          <w:sz w:val="21"/>
          <w:szCs w:val="20"/>
        </w:rPr>
      </w:pPr>
      <w:r>
        <w:rPr>
          <w:rFonts w:ascii="Times New Roman" w:hAnsi="Times New Roman"/>
          <w:b/>
          <w:kern w:val="2"/>
          <w:sz w:val="21"/>
          <w:szCs w:val="20"/>
        </w:rPr>
        <w:t>5.2.1.2</w:t>
      </w:r>
      <w:r>
        <w:rPr>
          <w:rFonts w:ascii="Times New Roman" w:hAnsi="Times New Roman"/>
          <w:kern w:val="2"/>
          <w:sz w:val="21"/>
          <w:szCs w:val="20"/>
        </w:rPr>
        <w:t xml:space="preserve"> </w:t>
      </w:r>
      <w:r>
        <w:rPr>
          <w:rFonts w:hint="eastAsia" w:ascii="Times New Roman" w:hAnsi="Times New Roman"/>
          <w:kern w:val="2"/>
          <w:sz w:val="21"/>
          <w:szCs w:val="20"/>
        </w:rPr>
        <w:t>主材及结构要求</w:t>
      </w:r>
    </w:p>
    <w:p>
      <w:pPr>
        <w:spacing w:line="360" w:lineRule="auto"/>
        <w:ind w:firstLine="420" w:firstLineChars="200"/>
        <w:rPr>
          <w:color w:val="000000"/>
        </w:rPr>
      </w:pPr>
      <w:r>
        <w:rPr>
          <w:color w:val="000000"/>
        </w:rPr>
        <w:t>1</w:t>
      </w:r>
      <w:r>
        <w:rPr>
          <w:rFonts w:hint="eastAsia"/>
          <w:color w:val="000000"/>
        </w:rPr>
        <w:t>）终端为全冷缩式结构，即所有的应力控制管或应力锥、外绝缘、三叉手套及密封直管也都是全冷缩结构。</w:t>
      </w:r>
    </w:p>
    <w:p>
      <w:pPr>
        <w:spacing w:line="360" w:lineRule="auto"/>
        <w:ind w:firstLine="420" w:firstLineChars="200"/>
        <w:rPr>
          <w:color w:val="000000"/>
        </w:rPr>
      </w:pPr>
      <w:r>
        <w:rPr>
          <w:color w:val="000000"/>
        </w:rPr>
        <w:t>2</w:t>
      </w:r>
      <w:r>
        <w:rPr>
          <w:rFonts w:hint="eastAsia"/>
          <w:color w:val="000000"/>
        </w:rPr>
        <w:t>）终端的应力控制管或应力锥与外绝缘提前预制为一个整体，一次收缩即可完成其安装，无需单独恢复应力控制管或应力锥。采用应力锥结构时需采用整体模压工艺。采用电应力控制结构时，在终端的至少</w:t>
      </w:r>
      <w:r>
        <w:rPr>
          <w:color w:val="000000"/>
        </w:rPr>
        <w:t>1/2</w:t>
      </w:r>
      <w:r>
        <w:rPr>
          <w:rFonts w:hint="eastAsia"/>
          <w:color w:val="000000"/>
        </w:rPr>
        <w:t>界面范围内应有电场控制措施；内置的高介电常数应力控制管的介电常数不小于</w:t>
      </w:r>
      <w:r>
        <w:rPr>
          <w:color w:val="000000"/>
        </w:rPr>
        <w:t>20</w:t>
      </w:r>
      <w:r>
        <w:rPr>
          <w:rFonts w:hint="eastAsia"/>
          <w:color w:val="000000"/>
        </w:rPr>
        <w:t>，介电强度、绝缘电阻和介电损耗因数应保持长期稳定并满足要求。</w:t>
      </w:r>
    </w:p>
    <w:p>
      <w:pPr>
        <w:spacing w:line="360" w:lineRule="auto"/>
        <w:ind w:firstLine="420" w:firstLineChars="200"/>
        <w:rPr>
          <w:color w:val="000000"/>
        </w:rPr>
      </w:pPr>
      <w:r>
        <w:rPr>
          <w:color w:val="000000"/>
        </w:rPr>
        <w:t>3</w:t>
      </w:r>
      <w:r>
        <w:rPr>
          <w:rFonts w:hint="eastAsia"/>
          <w:color w:val="000000"/>
        </w:rPr>
        <w:t>）终端的出线杆与电缆导体之间应采用压接方法连接，户外终端应采用密封式铜接线端子</w:t>
      </w:r>
      <w:r>
        <w:rPr>
          <w:rFonts w:hint="eastAsia"/>
          <w:color w:val="000000"/>
          <w:lang w:eastAsia="zh-CN"/>
        </w:rPr>
        <w:t>，</w:t>
      </w:r>
      <w:r>
        <w:rPr>
          <w:rFonts w:hint="eastAsia"/>
          <w:color w:val="000000"/>
        </w:rPr>
        <w:t>终端各部分的机械强度应能耐受因电缆的负荷变化而产生的末端推力而不致损坏。</w:t>
      </w:r>
    </w:p>
    <w:p>
      <w:pPr>
        <w:spacing w:line="360" w:lineRule="auto"/>
        <w:ind w:firstLine="420" w:firstLineChars="200"/>
        <w:rPr>
          <w:color w:val="000000"/>
        </w:rPr>
      </w:pPr>
      <w:r>
        <w:rPr>
          <w:color w:val="000000"/>
        </w:rPr>
        <w:t>4</w:t>
      </w:r>
      <w:r>
        <w:rPr>
          <w:rFonts w:hint="eastAsia"/>
          <w:color w:val="000000"/>
        </w:rPr>
        <w:t>）户外终端顶端需采用硅橡胶胶带绕包或硅橡胶管密封，保证其防水和抗爬电性能。</w:t>
      </w:r>
    </w:p>
    <w:p>
      <w:pPr>
        <w:spacing w:line="360" w:lineRule="auto"/>
        <w:ind w:firstLine="420" w:firstLineChars="200"/>
        <w:rPr>
          <w:color w:val="000000"/>
        </w:rPr>
      </w:pPr>
      <w:r>
        <w:rPr>
          <w:color w:val="000000"/>
        </w:rPr>
        <w:t>5</w:t>
      </w:r>
      <w:r>
        <w:rPr>
          <w:rFonts w:hint="eastAsia"/>
          <w:color w:val="000000"/>
        </w:rPr>
        <w:t>）终端的外绝缘必须采用高温硫化硅橡胶材料（性能参数见附录</w:t>
      </w:r>
      <w:r>
        <w:rPr>
          <w:color w:val="000000"/>
        </w:rPr>
        <w:t>E</w:t>
      </w:r>
      <w:r>
        <w:rPr>
          <w:rFonts w:hint="eastAsia"/>
          <w:color w:val="000000"/>
        </w:rPr>
        <w:t>），以实现较好的抗爬电、耐污、抗紫外线等大气老化、耐漏电起痕、耐电蚀、明火离开后有自熄灭等性能</w:t>
      </w:r>
      <w:r>
        <w:rPr>
          <w:color w:val="000000"/>
        </w:rPr>
        <w:t>，供应商应提供高温硫化硅橡胶的性能试验报告。</w:t>
      </w:r>
    </w:p>
    <w:p>
      <w:pPr>
        <w:spacing w:line="360" w:lineRule="auto"/>
        <w:ind w:firstLine="420" w:firstLineChars="200"/>
        <w:rPr>
          <w:color w:val="000000"/>
        </w:rPr>
      </w:pPr>
      <w:r>
        <w:rPr>
          <w:color w:val="000000"/>
        </w:rPr>
        <w:t>6</w:t>
      </w:r>
      <w:r>
        <w:rPr>
          <w:rFonts w:hint="eastAsia"/>
          <w:color w:val="000000"/>
        </w:rPr>
        <w:t>）终端内的绝缘填充剂及密封剂，应与电缆及终端内的其它绝缘材料相容</w:t>
      </w:r>
      <w:r>
        <w:rPr>
          <w:color w:val="000000"/>
        </w:rPr>
        <w:t>，供应商应提供相容性的性能试验报告</w:t>
      </w:r>
      <w:r>
        <w:rPr>
          <w:rFonts w:hint="eastAsia"/>
          <w:color w:val="000000"/>
        </w:rPr>
        <w:t>。</w:t>
      </w:r>
    </w:p>
    <w:p>
      <w:pPr>
        <w:spacing w:line="360" w:lineRule="auto"/>
        <w:ind w:firstLine="420" w:firstLineChars="200"/>
        <w:rPr>
          <w:color w:val="000000"/>
        </w:rPr>
      </w:pPr>
      <w:r>
        <w:rPr>
          <w:color w:val="000000"/>
        </w:rPr>
        <w:t>7</w:t>
      </w:r>
      <w:r>
        <w:rPr>
          <w:rFonts w:hint="eastAsia"/>
          <w:color w:val="000000"/>
        </w:rPr>
        <w:t>）三叉手套内部要求采取必要的填充、密封措施，以达到良好的密封效果。</w:t>
      </w:r>
    </w:p>
    <w:p>
      <w:pPr>
        <w:spacing w:line="360" w:lineRule="auto"/>
        <w:ind w:firstLine="420" w:firstLineChars="200"/>
        <w:rPr>
          <w:color w:val="000000"/>
        </w:rPr>
      </w:pPr>
      <w:r>
        <w:rPr>
          <w:color w:val="000000"/>
        </w:rPr>
        <w:t>8</w:t>
      </w:r>
      <w:bookmarkEnd w:id="81"/>
      <w:bookmarkStart w:id="82" w:name="_Toc475931227"/>
      <w:r>
        <w:rPr>
          <w:rFonts w:hint="eastAsia"/>
          <w:color w:val="000000"/>
        </w:rPr>
        <w:t>）为方便检测电缆内、外护套电气性能，电缆铜屏蔽层与铠装层应用两条镀锡编织铜线分开接地</w:t>
      </w:r>
      <w:r>
        <w:rPr>
          <w:color w:val="000000"/>
        </w:rPr>
        <w:t>，</w:t>
      </w:r>
      <w:r>
        <w:rPr>
          <w:rFonts w:hint="eastAsia"/>
          <w:color w:val="000000"/>
        </w:rPr>
        <w:t>接地线单条截面积不小于</w:t>
      </w:r>
      <w:r>
        <w:rPr>
          <w:color w:val="000000"/>
        </w:rPr>
        <w:t>25mm2</w:t>
      </w:r>
      <w:r>
        <w:rPr>
          <w:rFonts w:hint="eastAsia"/>
          <w:color w:val="000000"/>
        </w:rPr>
        <w:t>。</w:t>
      </w:r>
    </w:p>
    <w:p>
      <w:pPr>
        <w:spacing w:line="360" w:lineRule="auto"/>
        <w:ind w:firstLine="420" w:firstLineChars="200"/>
        <w:rPr>
          <w:color w:val="000000"/>
        </w:rPr>
      </w:pPr>
      <w:r>
        <w:rPr>
          <w:color w:val="000000"/>
        </w:rPr>
        <w:t>9</w:t>
      </w:r>
      <w:r>
        <w:rPr>
          <w:rFonts w:hint="eastAsia"/>
          <w:color w:val="000000"/>
        </w:rPr>
        <w:t>）在正常的室温环境温度储存条件下</w:t>
      </w:r>
      <w:r>
        <w:rPr>
          <w:rFonts w:hint="eastAsia"/>
          <w:color w:val="000000"/>
          <w:lang w:val="en-US" w:eastAsia="zh-CN"/>
        </w:rPr>
        <w:t>,</w:t>
      </w:r>
      <w:r>
        <w:rPr>
          <w:rFonts w:hint="eastAsia"/>
          <w:color w:val="000000"/>
        </w:rPr>
        <w:t>冷缩电缆附件在扩张状态下的储存时间不小于</w:t>
      </w:r>
      <w:r>
        <w:rPr>
          <w:color w:val="000000"/>
        </w:rPr>
        <w:t>2</w:t>
      </w:r>
      <w:r>
        <w:rPr>
          <w:rFonts w:hint="eastAsia"/>
          <w:color w:val="000000"/>
        </w:rPr>
        <w:t>年</w:t>
      </w:r>
      <w:r>
        <w:rPr>
          <w:color w:val="000000"/>
        </w:rPr>
        <w:t>（以供应商交付供电企业的时间开始计算）</w:t>
      </w:r>
      <w:r>
        <w:rPr>
          <w:rFonts w:hint="eastAsia"/>
          <w:color w:val="000000"/>
        </w:rPr>
        <w:t>。在储存期内，不得有开裂、松垮等现象</w:t>
      </w:r>
      <w:r>
        <w:rPr>
          <w:color w:val="000000"/>
        </w:rPr>
        <w:t>，且存放永久变形率小于15%</w:t>
      </w:r>
      <w:r>
        <w:rPr>
          <w:rFonts w:hint="eastAsia"/>
          <w:color w:val="000000"/>
        </w:rPr>
        <w:t>。</w:t>
      </w:r>
    </w:p>
    <w:p>
      <w:pPr>
        <w:spacing w:line="360" w:lineRule="auto"/>
        <w:ind w:firstLine="420" w:firstLineChars="200"/>
        <w:rPr>
          <w:color w:val="000000"/>
        </w:rPr>
      </w:pPr>
      <w:r>
        <w:rPr>
          <w:color w:val="000000"/>
        </w:rPr>
        <w:t>10）供应商应随产品</w:t>
      </w:r>
      <w:r>
        <w:rPr>
          <w:rFonts w:hint="eastAsia"/>
          <w:color w:val="000000"/>
        </w:rPr>
        <w:t>提供冷缩</w:t>
      </w:r>
      <w:r>
        <w:rPr>
          <w:color w:val="000000"/>
        </w:rPr>
        <w:t>附件的</w:t>
      </w:r>
      <w:r>
        <w:rPr>
          <w:rFonts w:hint="eastAsia"/>
          <w:color w:val="000000"/>
        </w:rPr>
        <w:t>原始内径</w:t>
      </w:r>
      <w:r>
        <w:rPr>
          <w:color w:val="000000"/>
        </w:rPr>
        <w:t>、冷缩</w:t>
      </w:r>
      <w:r>
        <w:rPr>
          <w:rFonts w:hint="eastAsia"/>
          <w:color w:val="000000"/>
        </w:rPr>
        <w:t>扩张率</w:t>
      </w:r>
      <w:r>
        <w:rPr>
          <w:color w:val="000000"/>
        </w:rPr>
        <w:t>、电缆主绝缘上的扩张率等参数</w:t>
      </w:r>
      <w:r>
        <w:rPr>
          <w:rFonts w:hint="eastAsia"/>
          <w:color w:val="000000"/>
        </w:rPr>
        <w:t>，冷缩附件</w:t>
      </w:r>
      <w:r>
        <w:rPr>
          <w:color w:val="000000"/>
        </w:rPr>
        <w:t>整体</w:t>
      </w:r>
      <w:r>
        <w:rPr>
          <w:rFonts w:hint="eastAsia"/>
          <w:color w:val="000000"/>
        </w:rPr>
        <w:t>在</w:t>
      </w:r>
      <w:r>
        <w:rPr>
          <w:color w:val="000000"/>
        </w:rPr>
        <w:t>自然通风老化试验箱的100</w:t>
      </w:r>
      <w:r>
        <w:rPr>
          <w:rFonts w:hint="eastAsia"/>
          <w:color w:val="000000"/>
        </w:rPr>
        <w:t>摄氏度下</w:t>
      </w:r>
      <w:r>
        <w:rPr>
          <w:color w:val="000000"/>
        </w:rPr>
        <w:t>3</w:t>
      </w:r>
      <w:r>
        <w:rPr>
          <w:rFonts w:hint="eastAsia"/>
          <w:color w:val="000000"/>
        </w:rPr>
        <w:t>小时老化后</w:t>
      </w:r>
      <w:r>
        <w:rPr>
          <w:color w:val="000000"/>
        </w:rPr>
        <w:t>与原始内径比较的</w:t>
      </w:r>
      <w:r>
        <w:rPr>
          <w:rFonts w:hint="eastAsia"/>
          <w:color w:val="000000"/>
        </w:rPr>
        <w:t>永久变形率小于</w:t>
      </w:r>
      <w:r>
        <w:rPr>
          <w:color w:val="000000"/>
        </w:rPr>
        <w:t>5%</w:t>
      </w:r>
      <w:r>
        <w:rPr>
          <w:rFonts w:hint="eastAsia"/>
          <w:color w:val="000000"/>
        </w:rPr>
        <w:t>。</w:t>
      </w:r>
    </w:p>
    <w:p>
      <w:pPr>
        <w:spacing w:line="360" w:lineRule="auto"/>
        <w:ind w:firstLine="420" w:firstLineChars="200"/>
        <w:rPr>
          <w:rFonts w:hint="eastAsia"/>
          <w:color w:val="000000"/>
        </w:rPr>
      </w:pPr>
      <w:r>
        <w:rPr>
          <w:color w:val="000000"/>
        </w:rPr>
        <w:t>11</w:t>
      </w:r>
      <w:r>
        <w:rPr>
          <w:rFonts w:hint="eastAsia"/>
          <w:color w:val="000000"/>
        </w:rPr>
        <w:t>）冷缩扩张率：（</w:t>
      </w:r>
      <w:r>
        <w:rPr>
          <w:color w:val="000000"/>
        </w:rPr>
        <w:t>1</w:t>
      </w:r>
      <w:r>
        <w:rPr>
          <w:rFonts w:hint="eastAsia"/>
          <w:color w:val="000000"/>
        </w:rPr>
        <w:t>）冷缩扩张率是指芯绳的外直径与电缆附件在室温下自然收缩</w:t>
      </w:r>
      <w:r>
        <w:rPr>
          <w:color w:val="000000"/>
        </w:rPr>
        <w:t>24</w:t>
      </w:r>
      <w:r>
        <w:rPr>
          <w:rFonts w:hint="eastAsia"/>
          <w:color w:val="000000"/>
        </w:rPr>
        <w:t>小时后的内直径之比。（</w:t>
      </w:r>
      <w:r>
        <w:rPr>
          <w:color w:val="000000"/>
        </w:rPr>
        <w:t>2</w:t>
      </w:r>
      <w:r>
        <w:rPr>
          <w:rFonts w:hint="eastAsia"/>
          <w:color w:val="000000"/>
        </w:rPr>
        <w:t>）为方便安装过程中抽取芯绳，且安装后冷缩本体有效压紧电缆本体，要求冷缩电缆接头的扩张率大于</w:t>
      </w:r>
      <w:r>
        <w:rPr>
          <w:color w:val="000000"/>
        </w:rPr>
        <w:t>150%</w:t>
      </w:r>
      <w:r>
        <w:rPr>
          <w:rFonts w:hint="eastAsia"/>
          <w:color w:val="000000"/>
        </w:rPr>
        <w:t>，</w:t>
      </w:r>
      <w:r>
        <w:rPr>
          <w:color w:val="000000"/>
        </w:rPr>
        <w:t>电缆主绝缘上的扩张率大于120%，</w:t>
      </w:r>
      <w:r>
        <w:rPr>
          <w:rFonts w:hint="eastAsia"/>
          <w:color w:val="000000"/>
        </w:rPr>
        <w:t>从而保证安装在电缆上时有足够的界面压力和电气性能。</w:t>
      </w:r>
    </w:p>
    <w:p>
      <w:pPr>
        <w:spacing w:line="360" w:lineRule="auto"/>
        <w:ind w:firstLine="420" w:firstLineChars="200"/>
        <w:rPr>
          <w:rFonts w:hint="eastAsia" w:eastAsia="宋体"/>
          <w:color w:val="000000"/>
          <w:lang w:val="en-US" w:eastAsia="zh-CN"/>
        </w:rPr>
      </w:pPr>
      <w:r>
        <w:rPr>
          <w:rFonts w:hint="eastAsia"/>
          <w:color w:val="000000"/>
          <w:lang w:val="en-US" w:eastAsia="zh-CN"/>
        </w:rPr>
        <w:t>12）工艺图纸应有对外护套、钢铠、内护套、铜屏蔽打磨的工艺要求，并应要求半导电断口倒角且平滑过渡。</w:t>
      </w:r>
    </w:p>
    <w:p>
      <w:pPr>
        <w:pStyle w:val="19"/>
        <w:spacing w:line="360" w:lineRule="auto"/>
        <w:outlineLvl w:val="3"/>
        <w:rPr>
          <w:rFonts w:ascii="Times New Roman" w:hAnsi="Times New Roman"/>
          <w:kern w:val="2"/>
          <w:sz w:val="21"/>
          <w:szCs w:val="20"/>
        </w:rPr>
      </w:pPr>
      <w:r>
        <w:rPr>
          <w:rFonts w:ascii="Times New Roman" w:hAnsi="Times New Roman"/>
          <w:b/>
          <w:kern w:val="2"/>
          <w:sz w:val="21"/>
          <w:szCs w:val="20"/>
        </w:rPr>
        <w:t>5.2.1.3</w:t>
      </w:r>
      <w:r>
        <w:rPr>
          <w:rFonts w:ascii="Times New Roman" w:hAnsi="Times New Roman"/>
          <w:kern w:val="2"/>
          <w:sz w:val="21"/>
          <w:szCs w:val="20"/>
        </w:rPr>
        <w:t xml:space="preserve"> </w:t>
      </w:r>
      <w:r>
        <w:rPr>
          <w:rFonts w:hint="eastAsia" w:ascii="Times New Roman" w:hAnsi="Times New Roman"/>
          <w:kern w:val="2"/>
          <w:sz w:val="21"/>
          <w:szCs w:val="20"/>
        </w:rPr>
        <w:t>辅材要求</w:t>
      </w:r>
    </w:p>
    <w:p>
      <w:pPr>
        <w:spacing w:line="360" w:lineRule="auto"/>
        <w:ind w:firstLine="420" w:firstLineChars="200"/>
        <w:rPr>
          <w:color w:val="000000"/>
        </w:rPr>
      </w:pPr>
      <w:r>
        <w:rPr>
          <w:color w:val="000000"/>
        </w:rPr>
        <w:t>1</w:t>
      </w:r>
      <w:r>
        <w:rPr>
          <w:rFonts w:hint="eastAsia"/>
          <w:color w:val="000000"/>
        </w:rPr>
        <w:t>）清洁剂：应无毒、易挥发、易溶解油垢、水分含量≤</w:t>
      </w:r>
      <w:r>
        <w:rPr>
          <w:color w:val="000000"/>
        </w:rPr>
        <w:t>0.5%</w:t>
      </w:r>
      <w:r>
        <w:rPr>
          <w:rFonts w:hint="eastAsia"/>
          <w:color w:val="000000"/>
        </w:rPr>
        <w:t>，且不与绝缘屏蔽、电缆主绝缘、硅橡胶件相溶。</w:t>
      </w:r>
    </w:p>
    <w:p>
      <w:pPr>
        <w:spacing w:line="360" w:lineRule="auto"/>
        <w:ind w:firstLine="420" w:firstLineChars="200"/>
        <w:rPr>
          <w:color w:val="000000"/>
        </w:rPr>
      </w:pPr>
      <w:r>
        <w:rPr>
          <w:color w:val="000000"/>
        </w:rPr>
        <w:t>2</w:t>
      </w:r>
      <w:r>
        <w:rPr>
          <w:rFonts w:hint="eastAsia"/>
          <w:color w:val="000000"/>
        </w:rPr>
        <w:t>）恒力弹簧：终端接地线采用恒力弹簧固定，不采用焊锡固定或铜丝捆扎。恒力弹簧应采用优质无磁或微磁材料，运行过程中不得锈蚀，可提供长久的抱紧力，正常运行下无涡流和电位悬浮，并有模制的电缆附件制造企业标识。恒力弹簧在自然状态下不少于</w:t>
      </w:r>
      <w:r>
        <w:rPr>
          <w:color w:val="000000"/>
        </w:rPr>
        <w:t>5</w:t>
      </w:r>
      <w:r>
        <w:rPr>
          <w:rFonts w:hint="eastAsia"/>
          <w:color w:val="000000"/>
        </w:rPr>
        <w:t>层，</w:t>
      </w:r>
      <w:r>
        <w:rPr>
          <w:color w:val="000000"/>
        </w:rPr>
        <w:t xml:space="preserve"> </w:t>
      </w:r>
      <w:r>
        <w:rPr>
          <w:rFonts w:hint="eastAsia"/>
          <w:color w:val="000000"/>
        </w:rPr>
        <w:t>宽度不少于</w:t>
      </w:r>
      <w:r>
        <w:rPr>
          <w:color w:val="000000"/>
        </w:rPr>
        <w:t>20mm</w:t>
      </w:r>
      <w:r>
        <w:rPr>
          <w:rFonts w:hint="eastAsia"/>
          <w:color w:val="000000"/>
        </w:rPr>
        <w:t>。</w:t>
      </w:r>
      <w:r>
        <w:rPr>
          <w:color w:val="000000"/>
        </w:rPr>
        <w:t>恒力弹簧按实际接头按装10天后，取出复原不应有明显的变形。</w:t>
      </w:r>
    </w:p>
    <w:p>
      <w:pPr>
        <w:spacing w:line="360" w:lineRule="auto"/>
        <w:ind w:firstLine="420" w:firstLineChars="200"/>
        <w:rPr>
          <w:color w:val="000000"/>
        </w:rPr>
      </w:pPr>
      <w:r>
        <w:rPr>
          <w:color w:val="000000"/>
        </w:rPr>
        <w:t>3</w:t>
      </w:r>
      <w:r>
        <w:rPr>
          <w:rFonts w:hint="eastAsia"/>
          <w:color w:val="000000"/>
        </w:rPr>
        <w:t>）支撑芯绳：电缆附件宜采用聚乙烯等芯绳支撑方式，冷缩支撑芯绳从一端能够完整抽出，不宜采用抽管式。芯绳宜采用搭扣式，每圈芯绳都具有连续均匀的焊接点，以保证其足够的机械强度和安装时能均匀抽取。安装在芯绳上的电缆终端在</w:t>
      </w:r>
      <w:r>
        <w:rPr>
          <w:color w:val="000000"/>
        </w:rPr>
        <w:t>自然通风老化试验箱的60</w:t>
      </w:r>
      <w:r>
        <w:rPr>
          <w:rFonts w:hint="eastAsia"/>
          <w:color w:val="000000"/>
        </w:rPr>
        <w:t>℃下</w:t>
      </w:r>
      <w:r>
        <w:rPr>
          <w:color w:val="000000"/>
        </w:rPr>
        <w:t>72</w:t>
      </w:r>
      <w:r>
        <w:rPr>
          <w:rFonts w:hint="eastAsia"/>
          <w:color w:val="000000"/>
        </w:rPr>
        <w:t>小时的老化试验后，不出现松垮、塌陷等现象，且芯绳在抽出过程中不会出现明显的移位现象。</w:t>
      </w:r>
    </w:p>
    <w:p>
      <w:pPr>
        <w:spacing w:line="360" w:lineRule="auto"/>
        <w:ind w:firstLine="420" w:firstLineChars="200"/>
        <w:rPr>
          <w:color w:val="000000"/>
        </w:rPr>
      </w:pPr>
      <w:r>
        <w:rPr>
          <w:color w:val="000000"/>
        </w:rPr>
        <w:t>4</w:t>
      </w:r>
      <w:r>
        <w:rPr>
          <w:rFonts w:hint="eastAsia"/>
          <w:color w:val="000000"/>
        </w:rPr>
        <w:t>）绝缘混合剂：终端接头内部和电缆主绝缘界面表面须采用不会被橡胶接头主体吸收或者干涸的绝缘混合剂以增强电气性能，绝缘混合剂必须长时间呈液态膏状，以填充气隙，不干涸或被硅橡胶接头主体吸收，且降低局部放电水平。其性能应至少满足附录</w:t>
      </w:r>
      <w:r>
        <w:rPr>
          <w:color w:val="000000"/>
        </w:rPr>
        <w:t>F</w:t>
      </w:r>
      <w:r>
        <w:rPr>
          <w:rFonts w:hint="eastAsia"/>
          <w:color w:val="000000"/>
        </w:rPr>
        <w:t>的要求。</w:t>
      </w:r>
      <w:r>
        <w:rPr>
          <w:color w:val="000000"/>
        </w:rPr>
        <w:t>供应商需提供</w:t>
      </w:r>
      <w:r>
        <w:rPr>
          <w:rFonts w:hint="eastAsia"/>
          <w:color w:val="000000"/>
        </w:rPr>
        <w:t>绝缘混合剂</w:t>
      </w:r>
      <w:r>
        <w:rPr>
          <w:color w:val="000000"/>
        </w:rPr>
        <w:t>的性能试验报告。</w:t>
      </w:r>
    </w:p>
    <w:p>
      <w:pPr>
        <w:spacing w:line="360" w:lineRule="auto"/>
        <w:ind w:firstLine="420" w:firstLineChars="200"/>
        <w:rPr>
          <w:color w:val="000000"/>
        </w:rPr>
      </w:pPr>
      <w:r>
        <w:rPr>
          <w:color w:val="000000"/>
        </w:rPr>
        <w:t>5</w:t>
      </w:r>
      <w:r>
        <w:rPr>
          <w:rFonts w:hint="eastAsia"/>
          <w:color w:val="000000"/>
        </w:rPr>
        <w:t>）绝缘自粘胶带：绝缘自粘胶带为乙丙橡胶带基的自融胶带，管芯上应印有清晰的生产厂家标志。正常运行温度不低于</w:t>
      </w:r>
      <w:r>
        <w:rPr>
          <w:color w:val="000000"/>
        </w:rPr>
        <w:t>90</w:t>
      </w:r>
      <w:r>
        <w:rPr>
          <w:rFonts w:hint="eastAsia"/>
          <w:color w:val="000000"/>
        </w:rPr>
        <w:t>℃，介电强度不低于</w:t>
      </w:r>
      <w:r>
        <w:rPr>
          <w:color w:val="000000"/>
        </w:rPr>
        <w:t>31kV/mm</w:t>
      </w:r>
      <w:r>
        <w:rPr>
          <w:rFonts w:hint="eastAsia"/>
          <w:color w:val="000000"/>
        </w:rPr>
        <w:t>。</w:t>
      </w:r>
      <w:r>
        <w:rPr>
          <w:color w:val="000000"/>
        </w:rPr>
        <w:t>供应商需提供</w:t>
      </w:r>
      <w:r>
        <w:rPr>
          <w:rFonts w:hint="eastAsia"/>
          <w:color w:val="000000"/>
        </w:rPr>
        <w:t>绝缘自粘胶带</w:t>
      </w:r>
      <w:r>
        <w:rPr>
          <w:color w:val="000000"/>
        </w:rPr>
        <w:t>的性能试验报告。</w:t>
      </w:r>
    </w:p>
    <w:p>
      <w:pPr>
        <w:spacing w:line="360" w:lineRule="auto"/>
        <w:ind w:firstLine="420" w:firstLineChars="200"/>
        <w:rPr>
          <w:color w:val="000000"/>
        </w:rPr>
      </w:pPr>
      <w:r>
        <w:rPr>
          <w:color w:val="000000"/>
        </w:rPr>
        <w:t>6</w:t>
      </w:r>
      <w:r>
        <w:rPr>
          <w:rFonts w:hint="eastAsia"/>
          <w:color w:val="000000"/>
        </w:rPr>
        <w:t>）半导电胶带：半导电胶带为从形性良好的乙丙橡胶带，易于拉伸，拉伸时也保持电导率，正常运行温度不低于</w:t>
      </w:r>
      <w:r>
        <w:rPr>
          <w:color w:val="000000"/>
        </w:rPr>
        <w:t>90</w:t>
      </w:r>
      <w:r>
        <w:rPr>
          <w:rFonts w:hint="eastAsia"/>
          <w:color w:val="000000"/>
        </w:rPr>
        <w:t>℃。</w:t>
      </w:r>
    </w:p>
    <w:p>
      <w:pPr>
        <w:spacing w:line="360" w:lineRule="auto"/>
        <w:ind w:firstLine="420" w:firstLineChars="200"/>
        <w:rPr>
          <w:rFonts w:hint="eastAsia"/>
          <w:color w:val="000000"/>
        </w:rPr>
      </w:pPr>
      <w:r>
        <w:rPr>
          <w:rFonts w:hint="eastAsia"/>
          <w:color w:val="000000"/>
        </w:rPr>
        <w:t>7）连接金具：导体连接金具应符合</w:t>
      </w:r>
      <w:r>
        <w:rPr>
          <w:color w:val="000000"/>
        </w:rPr>
        <w:t>GB/T 14315</w:t>
      </w:r>
      <w:r>
        <w:rPr>
          <w:rFonts w:hint="eastAsia"/>
          <w:color w:val="000000"/>
        </w:rPr>
        <w:t>中的相应规定，铜铝过渡接线端子的直流电阻应不大于相同长度、相同截面铝导体直流电阻的</w:t>
      </w:r>
      <w:r>
        <w:rPr>
          <w:color w:val="000000"/>
        </w:rPr>
        <w:t>1.2</w:t>
      </w:r>
      <w:r>
        <w:rPr>
          <w:rFonts w:hint="eastAsia"/>
          <w:color w:val="000000"/>
        </w:rPr>
        <w:t>倍。</w:t>
      </w:r>
      <w:r>
        <w:rPr>
          <w:rFonts w:hint="eastAsia"/>
          <w:color w:val="000000"/>
          <w:lang w:eastAsia="zh-CN"/>
        </w:rPr>
        <w:t>户外终端应采用密封式铜接线端子。</w:t>
      </w:r>
    </w:p>
    <w:p>
      <w:pPr>
        <w:spacing w:line="360" w:lineRule="auto"/>
        <w:ind w:firstLine="420" w:firstLineChars="200"/>
        <w:rPr>
          <w:rFonts w:hint="eastAsia"/>
          <w:color w:val="000000"/>
          <w:lang w:val="en-US" w:eastAsia="zh-CN"/>
        </w:rPr>
      </w:pPr>
      <w:r>
        <w:rPr>
          <w:rFonts w:hint="eastAsia"/>
          <w:color w:val="000000"/>
          <w:lang w:val="en-US" w:eastAsia="zh-CN"/>
        </w:rPr>
        <w:t>8）砂布：每套产品应配置1米400目砂纸（宽度40mm）。</w:t>
      </w:r>
    </w:p>
    <w:p>
      <w:pPr>
        <w:spacing w:line="360" w:lineRule="auto"/>
        <w:ind w:firstLine="420" w:firstLineChars="200"/>
        <w:rPr>
          <w:rFonts w:hint="default"/>
          <w:color w:val="000000"/>
          <w:lang w:val="en-US" w:eastAsia="zh-CN"/>
        </w:rPr>
      </w:pPr>
      <w:r>
        <w:rPr>
          <w:rFonts w:hint="eastAsia"/>
          <w:color w:val="000000"/>
          <w:lang w:val="en-US" w:eastAsia="zh-CN"/>
        </w:rPr>
        <w:t>9）示意纸尺应跟安装图纸保持一致，纸尺刻度应与钢直尺刻度无误差。</w:t>
      </w:r>
    </w:p>
    <w:p>
      <w:pPr>
        <w:pStyle w:val="190"/>
        <w:rPr>
          <w:rFonts w:hAnsi="Times New Roman" w:cs="Times New Roman"/>
          <w:b/>
        </w:rPr>
      </w:pPr>
      <w:bookmarkStart w:id="83" w:name="_Toc285717349"/>
      <w:bookmarkEnd w:id="83"/>
      <w:bookmarkStart w:id="84" w:name="_Toc285717868"/>
      <w:bookmarkEnd w:id="84"/>
      <w:bookmarkStart w:id="85" w:name="_Toc285717927"/>
      <w:bookmarkEnd w:id="85"/>
      <w:bookmarkStart w:id="86" w:name="_Toc285717984"/>
      <w:bookmarkEnd w:id="86"/>
      <w:bookmarkStart w:id="87" w:name="_Toc285717290"/>
      <w:bookmarkEnd w:id="87"/>
      <w:bookmarkStart w:id="88" w:name="_Toc285717926"/>
      <w:bookmarkEnd w:id="88"/>
      <w:bookmarkStart w:id="89" w:name="_Toc285717348"/>
      <w:bookmarkEnd w:id="89"/>
      <w:bookmarkStart w:id="90" w:name="_Toc285717406"/>
      <w:bookmarkEnd w:id="90"/>
      <w:bookmarkStart w:id="91" w:name="_Toc285717985"/>
      <w:r>
        <w:rPr>
          <w:rFonts w:hAnsi="Times New Roman" w:cs="Times New Roman"/>
          <w:b/>
        </w:rPr>
        <w:t xml:space="preserve">5.2.2 </w:t>
      </w:r>
      <w:r>
        <w:rPr>
          <w:rFonts w:ascii="黑体" w:hAnsi="黑体"/>
        </w:rPr>
        <w:t>冷缩电缆直通</w:t>
      </w:r>
      <w:r>
        <w:rPr>
          <w:rFonts w:hint="eastAsia" w:ascii="黑体" w:hAnsi="黑体"/>
        </w:rPr>
        <w:t>接头（</w:t>
      </w:r>
      <w:bookmarkEnd w:id="82"/>
      <w:r>
        <w:rPr>
          <w:rFonts w:hint="eastAsia" w:ascii="黑体" w:hAnsi="黑体"/>
        </w:rPr>
        <w:t>参数见附录</w:t>
      </w:r>
      <w:r>
        <w:rPr>
          <w:rFonts w:ascii="黑体" w:hAnsi="黑体"/>
        </w:rPr>
        <w:t>C</w:t>
      </w:r>
      <w:r>
        <w:rPr>
          <w:rFonts w:hint="eastAsia" w:ascii="黑体" w:hAnsi="黑体"/>
        </w:rPr>
        <w:t>）</w:t>
      </w:r>
    </w:p>
    <w:bookmarkEnd w:id="91"/>
    <w:p>
      <w:pPr>
        <w:pStyle w:val="19"/>
        <w:spacing w:line="360" w:lineRule="auto"/>
        <w:outlineLvl w:val="3"/>
        <w:rPr>
          <w:rFonts w:ascii="Times New Roman" w:hAnsi="Times New Roman"/>
          <w:kern w:val="2"/>
          <w:sz w:val="21"/>
          <w:szCs w:val="20"/>
        </w:rPr>
      </w:pPr>
      <w:r>
        <w:rPr>
          <w:rFonts w:ascii="Times New Roman" w:hAnsi="Times New Roman"/>
          <w:b/>
          <w:kern w:val="2"/>
          <w:sz w:val="21"/>
          <w:szCs w:val="20"/>
        </w:rPr>
        <w:t>5.2.2.1</w:t>
      </w:r>
      <w:r>
        <w:rPr>
          <w:rFonts w:ascii="Times New Roman" w:hAnsi="Times New Roman"/>
          <w:kern w:val="2"/>
          <w:sz w:val="21"/>
          <w:szCs w:val="20"/>
        </w:rPr>
        <w:t xml:space="preserve"> </w:t>
      </w:r>
      <w:r>
        <w:rPr>
          <w:rFonts w:hint="eastAsia" w:ascii="Times New Roman" w:hAnsi="Times New Roman"/>
          <w:kern w:val="2"/>
          <w:sz w:val="21"/>
          <w:szCs w:val="20"/>
        </w:rPr>
        <w:t>外观要求</w:t>
      </w:r>
    </w:p>
    <w:p>
      <w:pPr>
        <w:spacing w:line="360" w:lineRule="auto"/>
        <w:ind w:firstLine="420" w:firstLineChars="200"/>
        <w:rPr>
          <w:color w:val="000000"/>
        </w:rPr>
      </w:pPr>
      <w:r>
        <w:rPr>
          <w:color w:val="000000"/>
        </w:rPr>
        <w:t>1</w:t>
      </w:r>
      <w:r>
        <w:rPr>
          <w:rFonts w:hint="eastAsia"/>
          <w:color w:val="000000"/>
        </w:rPr>
        <w:t>）电缆附件主体有明显的制造商品牌标志和冷缩管预扩张日期（精确到月），应模制于硅橡胶主体上。</w:t>
      </w:r>
    </w:p>
    <w:p>
      <w:pPr>
        <w:spacing w:line="360" w:lineRule="auto"/>
        <w:ind w:firstLine="420" w:firstLineChars="200"/>
        <w:rPr>
          <w:color w:val="000000"/>
        </w:rPr>
      </w:pPr>
      <w:r>
        <w:rPr>
          <w:color w:val="000000"/>
        </w:rPr>
        <w:t>2</w:t>
      </w:r>
      <w:r>
        <w:rPr>
          <w:rFonts w:hint="eastAsia"/>
          <w:color w:val="000000"/>
        </w:rPr>
        <w:t>）电缆附件的所有橡胶件内表面应光滑，内外表面无肉眼可见的因材质和工艺不善引起的斑痕、凹坑、裂纹和杂质，结构尺寸应符合图纸要求。</w:t>
      </w:r>
    </w:p>
    <w:p>
      <w:pPr>
        <w:pStyle w:val="19"/>
        <w:spacing w:line="360" w:lineRule="auto"/>
        <w:outlineLvl w:val="3"/>
        <w:rPr>
          <w:rFonts w:ascii="Times New Roman" w:hAnsi="Times New Roman"/>
          <w:kern w:val="2"/>
          <w:sz w:val="21"/>
          <w:szCs w:val="20"/>
        </w:rPr>
      </w:pPr>
      <w:r>
        <w:rPr>
          <w:rFonts w:ascii="Times New Roman" w:hAnsi="Times New Roman"/>
          <w:b/>
          <w:kern w:val="2"/>
          <w:sz w:val="21"/>
          <w:szCs w:val="20"/>
        </w:rPr>
        <w:t>5.2.2.2</w:t>
      </w:r>
      <w:r>
        <w:rPr>
          <w:rFonts w:hint="eastAsia" w:ascii="Times New Roman" w:hAnsi="Times New Roman"/>
          <w:kern w:val="2"/>
          <w:sz w:val="21"/>
          <w:szCs w:val="20"/>
        </w:rPr>
        <w:t>主材及结构要求</w:t>
      </w:r>
    </w:p>
    <w:p>
      <w:pPr>
        <w:spacing w:line="360" w:lineRule="auto"/>
        <w:ind w:firstLine="420" w:firstLineChars="200"/>
        <w:rPr>
          <w:color w:val="000000"/>
        </w:rPr>
      </w:pPr>
      <w:r>
        <w:rPr>
          <w:color w:val="000000"/>
        </w:rPr>
        <w:t>1</w:t>
      </w:r>
      <w:bookmarkStart w:id="92" w:name="_Toc285717986"/>
      <w:r>
        <w:rPr>
          <w:rFonts w:hint="eastAsia"/>
          <w:color w:val="000000"/>
        </w:rPr>
        <w:t>）直通接头主体需采用液态硅橡胶材料（性能参数见附录</w:t>
      </w:r>
      <w:r>
        <w:rPr>
          <w:color w:val="000000"/>
        </w:rPr>
        <w:t>E</w:t>
      </w:r>
      <w:r>
        <w:rPr>
          <w:rFonts w:hint="eastAsia"/>
          <w:color w:val="000000"/>
        </w:rPr>
        <w:t>）整体成型工艺，即保证所有内屏蔽、外屏蔽、主绝缘和应力控制部分为一个整体，相互之间无分层、无气隙，无需单独绕包胶带来恢复内电极或应力控制层</w:t>
      </w:r>
      <w:r>
        <w:rPr>
          <w:color w:val="000000"/>
        </w:rPr>
        <w:t>。供应商应提供液态硅橡胶材料的性能试验报告</w:t>
      </w:r>
      <w:r>
        <w:rPr>
          <w:rFonts w:hint="eastAsia"/>
          <w:color w:val="000000"/>
        </w:rPr>
        <w:t>。</w:t>
      </w:r>
    </w:p>
    <w:bookmarkEnd w:id="92"/>
    <w:p>
      <w:pPr>
        <w:spacing w:line="360" w:lineRule="auto"/>
        <w:ind w:firstLine="420" w:firstLineChars="200"/>
        <w:rPr>
          <w:color w:val="000000"/>
        </w:rPr>
      </w:pPr>
      <w:r>
        <w:rPr>
          <w:color w:val="000000"/>
        </w:rPr>
        <w:t>2</w:t>
      </w:r>
      <w:bookmarkStart w:id="93" w:name="_Toc285717987"/>
      <w:r>
        <w:rPr>
          <w:rFonts w:hint="eastAsia"/>
          <w:color w:val="000000"/>
        </w:rPr>
        <w:t>）直通接头的外屏蔽层与</w:t>
      </w:r>
      <w:bookmarkEnd w:id="93"/>
      <w:r>
        <w:rPr>
          <w:rFonts w:hint="eastAsia"/>
          <w:color w:val="000000"/>
        </w:rPr>
        <w:t>绝缘层应采用整体模压工艺，接头外屏蔽层厚度应不小于与电缆绝缘屏蔽层标称厚度。禁止采用喷导电硅橡胶液体和单独半导电管方式。</w:t>
      </w:r>
    </w:p>
    <w:p>
      <w:pPr>
        <w:spacing w:line="360" w:lineRule="auto"/>
        <w:ind w:firstLine="420" w:firstLineChars="200"/>
        <w:rPr>
          <w:color w:val="000000"/>
        </w:rPr>
      </w:pPr>
      <w:r>
        <w:rPr>
          <w:color w:val="000000"/>
        </w:rPr>
        <w:t>3</w:t>
      </w:r>
      <w:bookmarkStart w:id="94" w:name="_Toc285717988"/>
      <w:r>
        <w:rPr>
          <w:rFonts w:hint="eastAsia"/>
          <w:color w:val="000000"/>
        </w:rPr>
        <w:t>）直通接头防水层恢复须采用多层绕包弹性防水自粘带或灌胶防水的方式，操作简单、无需专用工具</w:t>
      </w:r>
      <w:r>
        <w:rPr>
          <w:color w:val="000000"/>
        </w:rPr>
        <w:t>，并需</w:t>
      </w:r>
      <w:r>
        <w:rPr>
          <w:rFonts w:hint="eastAsia"/>
          <w:color w:val="000000"/>
        </w:rPr>
        <w:t>具有优良的防水特性。工艺图纸应要求在内护套、外护套来回各绕包一层防水带。同时应能出具的长期泡水运行证明。半重叠单层绕包的防水胶带应模拟电缆直通接头的实际安装运行条件，绕包防水胶带、相关</w:t>
      </w:r>
      <w:r>
        <w:rPr>
          <w:color w:val="000000"/>
        </w:rPr>
        <w:t>PVC</w:t>
      </w:r>
      <w:r>
        <w:rPr>
          <w:rFonts w:hint="eastAsia"/>
          <w:color w:val="000000"/>
        </w:rPr>
        <w:t>胶带及铠装带之后，浸入</w:t>
      </w:r>
      <w:r>
        <w:rPr>
          <w:color w:val="000000"/>
        </w:rPr>
        <w:t>1m</w:t>
      </w:r>
      <w:r>
        <w:rPr>
          <w:rFonts w:hint="eastAsia"/>
          <w:color w:val="000000"/>
        </w:rPr>
        <w:t>的水中，</w:t>
      </w:r>
      <w:r>
        <w:rPr>
          <w:color w:val="000000"/>
        </w:rPr>
        <w:t>240</w:t>
      </w:r>
      <w:r>
        <w:rPr>
          <w:rFonts w:hint="eastAsia"/>
          <w:color w:val="000000"/>
        </w:rPr>
        <w:t>小时后不透水。</w:t>
      </w:r>
      <w:r>
        <w:rPr>
          <w:color w:val="000000"/>
        </w:rPr>
        <w:t>供</w:t>
      </w:r>
      <w:bookmarkEnd w:id="94"/>
      <w:r>
        <w:rPr>
          <w:color w:val="000000"/>
        </w:rPr>
        <w:t>应商应提供防水层的性能试验报告。</w:t>
      </w:r>
    </w:p>
    <w:p>
      <w:pPr>
        <w:spacing w:line="360" w:lineRule="auto"/>
        <w:ind w:firstLine="420" w:firstLineChars="200"/>
        <w:rPr>
          <w:color w:val="000000"/>
        </w:rPr>
      </w:pPr>
      <w:r>
        <w:rPr>
          <w:color w:val="000000"/>
        </w:rPr>
        <w:t>4</w:t>
      </w:r>
      <w:bookmarkStart w:id="95" w:name="_Toc285717989"/>
      <w:r>
        <w:rPr>
          <w:rFonts w:hint="eastAsia"/>
          <w:color w:val="000000"/>
        </w:rPr>
        <w:t>）直通接头应有机械强度良好的装甲带或树脂浇注作为外层保护，外保护套应具有与电缆金属铠装的相同的机械强度。绕包五层装甲带成直径约</w:t>
      </w:r>
      <w:r>
        <w:rPr>
          <w:color w:val="000000"/>
        </w:rPr>
        <w:t>8cm</w:t>
      </w:r>
      <w:r>
        <w:rPr>
          <w:rFonts w:hint="eastAsia"/>
          <w:color w:val="000000"/>
        </w:rPr>
        <w:t>的圆柱体，完全固化后，能承受</w:t>
      </w:r>
      <w:r>
        <w:rPr>
          <w:color w:val="000000"/>
        </w:rPr>
        <w:t>1.2kN</w:t>
      </w:r>
      <w:r>
        <w:rPr>
          <w:rFonts w:hint="eastAsia"/>
          <w:color w:val="000000"/>
        </w:rPr>
        <w:t>的压力不变形，不松垮。</w:t>
      </w:r>
      <w:r>
        <w:rPr>
          <w:color w:val="000000"/>
        </w:rPr>
        <w:t>供应商需提供外</w:t>
      </w:r>
      <w:r>
        <w:rPr>
          <w:rFonts w:hint="eastAsia"/>
          <w:color w:val="000000"/>
        </w:rPr>
        <w:t>保护套</w:t>
      </w:r>
      <w:r>
        <w:rPr>
          <w:color w:val="000000"/>
        </w:rPr>
        <w:t>的性能试验报告。</w:t>
      </w:r>
    </w:p>
    <w:bookmarkEnd w:id="95"/>
    <w:p>
      <w:pPr>
        <w:spacing w:line="360" w:lineRule="auto"/>
        <w:ind w:firstLine="420" w:firstLineChars="200"/>
        <w:rPr>
          <w:color w:val="000000"/>
        </w:rPr>
      </w:pPr>
      <w:r>
        <w:rPr>
          <w:color w:val="000000"/>
        </w:rPr>
        <w:t>5</w:t>
      </w:r>
      <w:bookmarkStart w:id="96" w:name="_Toc285717990"/>
      <w:r>
        <w:rPr>
          <w:rFonts w:hint="eastAsia"/>
          <w:color w:val="000000"/>
        </w:rPr>
        <w:t>）直通接头内部和电缆主绝缘表面须采用不会被吸收</w:t>
      </w:r>
      <w:r>
        <w:rPr>
          <w:color w:val="000000"/>
        </w:rPr>
        <w:t>和不容易</w:t>
      </w:r>
      <w:r>
        <w:rPr>
          <w:rFonts w:hint="eastAsia"/>
          <w:color w:val="000000"/>
        </w:rPr>
        <w:t>干涸的绝缘混合剂以增强电气性能，且长时间呈液体状态，以填充气隙，降低局部放电水平。</w:t>
      </w:r>
    </w:p>
    <w:bookmarkEnd w:id="96"/>
    <w:p>
      <w:pPr>
        <w:spacing w:line="360" w:lineRule="auto"/>
        <w:ind w:firstLine="420" w:firstLineChars="200"/>
        <w:rPr>
          <w:color w:val="000000"/>
        </w:rPr>
      </w:pPr>
      <w:r>
        <w:rPr>
          <w:color w:val="000000"/>
        </w:rPr>
        <w:t>6</w:t>
      </w:r>
      <w:bookmarkStart w:id="97" w:name="_Toc285717991"/>
      <w:r>
        <w:rPr>
          <w:rFonts w:hint="eastAsia"/>
          <w:color w:val="000000"/>
        </w:rPr>
        <w:t>）所有的直通接头都在</w:t>
      </w:r>
      <w:r>
        <w:rPr>
          <w:color w:val="000000"/>
        </w:rPr>
        <w:t>制造厂</w:t>
      </w:r>
      <w:r>
        <w:rPr>
          <w:rFonts w:hint="eastAsia"/>
          <w:color w:val="000000"/>
        </w:rPr>
        <w:t>内进行</w:t>
      </w:r>
      <w:r>
        <w:rPr>
          <w:color w:val="000000"/>
        </w:rPr>
        <w:t>100</w:t>
      </w:r>
      <w:r>
        <w:rPr>
          <w:rFonts w:hint="eastAsia"/>
          <w:color w:val="000000"/>
        </w:rPr>
        <w:t>％的局部放电量测试，测试局放应小于</w:t>
      </w:r>
      <w:r>
        <w:rPr>
          <w:color w:val="000000"/>
        </w:rPr>
        <w:t>5pC。局放出厂试验需100%全覆盖，不允许抽样检测</w:t>
      </w:r>
      <w:r>
        <w:rPr>
          <w:rFonts w:hint="eastAsia"/>
          <w:color w:val="000000"/>
        </w:rPr>
        <w:t>。提供并描述其试验方法，应有测试工装照片可供查询，并有检验的历史记录可供检查。</w:t>
      </w:r>
      <w:r>
        <w:rPr>
          <w:color w:val="000000"/>
        </w:rPr>
        <w:t>出厂试验报告需随产品一起附上。</w:t>
      </w:r>
    </w:p>
    <w:bookmarkEnd w:id="97"/>
    <w:p>
      <w:pPr>
        <w:spacing w:line="360" w:lineRule="auto"/>
        <w:ind w:firstLine="420" w:firstLineChars="200"/>
        <w:rPr>
          <w:color w:val="000000"/>
        </w:rPr>
      </w:pPr>
      <w:r>
        <w:rPr>
          <w:color w:val="000000"/>
        </w:rPr>
        <w:t>7</w:t>
      </w:r>
      <w:r>
        <w:rPr>
          <w:rFonts w:hint="eastAsia"/>
          <w:color w:val="000000"/>
        </w:rPr>
        <w:t>）恢复电缆铜屏蔽层应选用截面积不小于</w:t>
      </w:r>
      <w:r>
        <w:rPr>
          <w:color w:val="000000"/>
        </w:rPr>
        <w:t>25mm2</w:t>
      </w:r>
      <w:r>
        <w:rPr>
          <w:rFonts w:hint="eastAsia"/>
          <w:color w:val="000000"/>
        </w:rPr>
        <w:t>的镀锡铜网。</w:t>
      </w:r>
    </w:p>
    <w:p>
      <w:pPr>
        <w:spacing w:line="360" w:lineRule="auto"/>
        <w:ind w:firstLine="420" w:firstLineChars="200"/>
        <w:rPr>
          <w:color w:val="000000"/>
        </w:rPr>
      </w:pPr>
      <w:r>
        <w:rPr>
          <w:color w:val="000000"/>
        </w:rPr>
        <w:t>8</w:t>
      </w:r>
      <w:r>
        <w:rPr>
          <w:rFonts w:hint="eastAsia"/>
          <w:color w:val="000000"/>
        </w:rPr>
        <w:t>）接头跨桥线应为带绝缘外皮的镀锡铜编织线，截面积不小于</w:t>
      </w:r>
      <w:r>
        <w:rPr>
          <w:color w:val="000000"/>
        </w:rPr>
        <w:t>25mm2。</w:t>
      </w:r>
    </w:p>
    <w:p>
      <w:pPr>
        <w:spacing w:line="360" w:lineRule="auto"/>
        <w:ind w:firstLine="420" w:firstLineChars="200"/>
        <w:rPr>
          <w:color w:val="000000"/>
        </w:rPr>
      </w:pPr>
      <w:r>
        <w:rPr>
          <w:color w:val="000000"/>
        </w:rPr>
        <w:t>9</w:t>
      </w:r>
      <w:r>
        <w:rPr>
          <w:rFonts w:hint="eastAsia"/>
          <w:color w:val="000000"/>
        </w:rPr>
        <w:t>）在正常的室温环境温度储存条件下</w:t>
      </w:r>
      <w:r>
        <w:rPr>
          <w:color w:val="000000"/>
        </w:rPr>
        <w:t>,</w:t>
      </w:r>
      <w:r>
        <w:rPr>
          <w:rFonts w:hint="eastAsia"/>
          <w:color w:val="000000"/>
        </w:rPr>
        <w:t>冷缩电缆附件在扩张状态下的储存时间不小于</w:t>
      </w:r>
      <w:r>
        <w:rPr>
          <w:color w:val="000000"/>
        </w:rPr>
        <w:t>2</w:t>
      </w:r>
      <w:r>
        <w:rPr>
          <w:rFonts w:hint="eastAsia"/>
          <w:color w:val="000000"/>
        </w:rPr>
        <w:t>年。在储存期内，不得有开裂、松垮等现象。在储存期内，不得有开裂、松垮等现象</w:t>
      </w:r>
      <w:r>
        <w:rPr>
          <w:color w:val="000000"/>
        </w:rPr>
        <w:t>，且存放永久变形率小于15%</w:t>
      </w:r>
      <w:r>
        <w:rPr>
          <w:rFonts w:hint="eastAsia"/>
          <w:color w:val="000000"/>
        </w:rPr>
        <w:t>。</w:t>
      </w:r>
    </w:p>
    <w:p>
      <w:pPr>
        <w:spacing w:line="360" w:lineRule="auto"/>
        <w:ind w:firstLine="420" w:firstLineChars="200"/>
        <w:rPr>
          <w:color w:val="000000"/>
        </w:rPr>
      </w:pPr>
      <w:r>
        <w:rPr>
          <w:color w:val="000000"/>
        </w:rPr>
        <w:t>10）供应商应随产品</w:t>
      </w:r>
      <w:r>
        <w:rPr>
          <w:rFonts w:hint="eastAsia"/>
          <w:color w:val="000000"/>
        </w:rPr>
        <w:t>提供冷缩</w:t>
      </w:r>
      <w:r>
        <w:rPr>
          <w:color w:val="000000"/>
        </w:rPr>
        <w:t>附件的</w:t>
      </w:r>
      <w:r>
        <w:rPr>
          <w:rFonts w:hint="eastAsia"/>
          <w:color w:val="000000"/>
        </w:rPr>
        <w:t>原始内径</w:t>
      </w:r>
      <w:r>
        <w:rPr>
          <w:color w:val="000000"/>
        </w:rPr>
        <w:t>、冷缩</w:t>
      </w:r>
      <w:r>
        <w:rPr>
          <w:rFonts w:hint="eastAsia"/>
          <w:color w:val="000000"/>
        </w:rPr>
        <w:t>扩张率</w:t>
      </w:r>
      <w:r>
        <w:rPr>
          <w:color w:val="000000"/>
        </w:rPr>
        <w:t>、电缆主绝缘上的扩张率等参数</w:t>
      </w:r>
      <w:r>
        <w:rPr>
          <w:rFonts w:hint="eastAsia"/>
          <w:color w:val="000000"/>
        </w:rPr>
        <w:t>，冷缩附件在</w:t>
      </w:r>
      <w:r>
        <w:rPr>
          <w:color w:val="000000"/>
        </w:rPr>
        <w:t>自然通风老化试验箱的100</w:t>
      </w:r>
      <w:r>
        <w:rPr>
          <w:rFonts w:hint="eastAsia"/>
          <w:color w:val="000000"/>
        </w:rPr>
        <w:t>摄氏度下</w:t>
      </w:r>
      <w:r>
        <w:rPr>
          <w:color w:val="000000"/>
        </w:rPr>
        <w:t>3</w:t>
      </w:r>
      <w:r>
        <w:rPr>
          <w:rFonts w:hint="eastAsia"/>
          <w:color w:val="000000"/>
        </w:rPr>
        <w:t>小时老化后</w:t>
      </w:r>
      <w:r>
        <w:rPr>
          <w:color w:val="000000"/>
        </w:rPr>
        <w:t>与原始内径比较的</w:t>
      </w:r>
      <w:r>
        <w:rPr>
          <w:rFonts w:hint="eastAsia"/>
          <w:color w:val="000000"/>
        </w:rPr>
        <w:t>永久变形率小于</w:t>
      </w:r>
      <w:r>
        <w:rPr>
          <w:color w:val="000000"/>
        </w:rPr>
        <w:t>5%</w:t>
      </w:r>
      <w:r>
        <w:rPr>
          <w:rFonts w:hint="eastAsia"/>
          <w:color w:val="000000"/>
        </w:rPr>
        <w:t>。</w:t>
      </w:r>
    </w:p>
    <w:p>
      <w:pPr>
        <w:spacing w:line="360" w:lineRule="auto"/>
        <w:ind w:firstLine="420" w:firstLineChars="200"/>
        <w:rPr>
          <w:color w:val="000000"/>
        </w:rPr>
      </w:pPr>
      <w:r>
        <w:rPr>
          <w:color w:val="000000"/>
        </w:rPr>
        <w:t>11</w:t>
      </w:r>
      <w:r>
        <w:rPr>
          <w:rFonts w:hint="eastAsia"/>
          <w:color w:val="000000"/>
        </w:rPr>
        <w:t>）冷缩扩张率：（</w:t>
      </w:r>
      <w:r>
        <w:rPr>
          <w:color w:val="000000"/>
        </w:rPr>
        <w:t>1</w:t>
      </w:r>
      <w:r>
        <w:rPr>
          <w:rFonts w:hint="eastAsia"/>
          <w:color w:val="000000"/>
        </w:rPr>
        <w:t>）冷缩扩张率是指芯绳的外直径与电缆附件在室温下自然收缩</w:t>
      </w:r>
      <w:r>
        <w:rPr>
          <w:color w:val="000000"/>
        </w:rPr>
        <w:t>24</w:t>
      </w:r>
      <w:r>
        <w:rPr>
          <w:rFonts w:hint="eastAsia"/>
          <w:color w:val="000000"/>
        </w:rPr>
        <w:t>小时后的内直径之比。（</w:t>
      </w:r>
      <w:r>
        <w:rPr>
          <w:color w:val="000000"/>
        </w:rPr>
        <w:t>2</w:t>
      </w:r>
      <w:r>
        <w:rPr>
          <w:rFonts w:hint="eastAsia"/>
          <w:color w:val="000000"/>
        </w:rPr>
        <w:t>）为方便安装过程中抽取芯绳，且安装后冷缩本体有效压紧电缆本体，要求冷缩电缆中间接头的扩张率大于</w:t>
      </w:r>
      <w:r>
        <w:rPr>
          <w:color w:val="000000"/>
        </w:rPr>
        <w:t>150%</w:t>
      </w:r>
      <w:r>
        <w:rPr>
          <w:rFonts w:hint="eastAsia"/>
          <w:color w:val="000000"/>
        </w:rPr>
        <w:t>，</w:t>
      </w:r>
      <w:r>
        <w:rPr>
          <w:color w:val="000000"/>
        </w:rPr>
        <w:t>电缆主绝缘上的扩张率大于120%，</w:t>
      </w:r>
      <w:r>
        <w:rPr>
          <w:rFonts w:hint="eastAsia"/>
          <w:color w:val="000000"/>
        </w:rPr>
        <w:t>从而保证安装在电缆上时有足够的界面压力和电气性能。</w:t>
      </w:r>
    </w:p>
    <w:p>
      <w:pPr>
        <w:spacing w:line="360" w:lineRule="auto"/>
        <w:ind w:firstLine="420" w:firstLineChars="200"/>
        <w:rPr>
          <w:color w:val="000000"/>
        </w:rPr>
      </w:pPr>
      <w:r>
        <w:rPr>
          <w:color w:val="000000"/>
        </w:rPr>
        <w:t>12</w:t>
      </w:r>
      <w:r>
        <w:rPr>
          <w:rFonts w:hint="eastAsia"/>
          <w:color w:val="000000"/>
        </w:rPr>
        <w:t>）电缆中间接头应提供持久的径向压力，采取安全的密封措施，防水性能优良，保证长期在水中运行且绝缘不受影响。应以“冷缩电缆附件的扩张率”衡量径向压力大小，生产厂家应提供扩张率数值。</w:t>
      </w:r>
    </w:p>
    <w:p>
      <w:pPr>
        <w:spacing w:line="360" w:lineRule="auto"/>
        <w:ind w:firstLine="420" w:firstLineChars="200"/>
        <w:rPr>
          <w:color w:val="000000"/>
        </w:rPr>
      </w:pPr>
      <w:r>
        <w:rPr>
          <w:color w:val="000000"/>
        </w:rPr>
        <w:t>13</w:t>
      </w:r>
      <w:r>
        <w:rPr>
          <w:rFonts w:hint="eastAsia"/>
          <w:color w:val="000000"/>
        </w:rPr>
        <w:t>）内半导电层的长度：为适应金属压接式接管的压后伸长，内屏蔽的长度须大于压接管长度</w:t>
      </w:r>
      <w:r>
        <w:rPr>
          <w:color w:val="000000"/>
        </w:rPr>
        <w:t>50mm</w:t>
      </w:r>
      <w:r>
        <w:rPr>
          <w:rFonts w:hint="eastAsia"/>
          <w:color w:val="000000"/>
        </w:rPr>
        <w:t>。</w:t>
      </w:r>
    </w:p>
    <w:p>
      <w:pPr>
        <w:spacing w:line="360" w:lineRule="auto"/>
        <w:ind w:firstLine="420" w:firstLineChars="200"/>
        <w:rPr>
          <w:rFonts w:hint="eastAsia"/>
          <w:color w:val="000000"/>
        </w:rPr>
      </w:pPr>
      <w:r>
        <w:rPr>
          <w:color w:val="000000"/>
        </w:rPr>
        <w:t>14</w:t>
      </w:r>
      <w:r>
        <w:rPr>
          <w:rFonts w:hint="eastAsia"/>
          <w:color w:val="000000"/>
        </w:rPr>
        <w:t>）可根据设计实际要求提供带防火、电子标识等附加功能的中间接头。</w:t>
      </w:r>
    </w:p>
    <w:p>
      <w:pPr>
        <w:spacing w:line="360" w:lineRule="auto"/>
        <w:ind w:firstLine="420" w:firstLineChars="200"/>
        <w:rPr>
          <w:rFonts w:hint="eastAsia"/>
          <w:color w:val="000000"/>
        </w:rPr>
      </w:pPr>
      <w:r>
        <w:rPr>
          <w:rFonts w:hint="eastAsia"/>
          <w:color w:val="000000"/>
        </w:rPr>
        <w:t>15）应有中间头主体两端的防水工艺。在工艺图纸中需标明主体两端的防水工艺，即先用防水带进行密封，再绕包半导电带，要求半导电带绕包完毕后搭接电缆半导电层≥10mm，搭接中间头主体外屏蔽≥10mm。</w:t>
      </w:r>
    </w:p>
    <w:p>
      <w:pPr>
        <w:spacing w:line="360" w:lineRule="auto"/>
        <w:ind w:firstLine="420" w:firstLineChars="200"/>
        <w:rPr>
          <w:rFonts w:hint="eastAsia"/>
          <w:color w:val="000000"/>
        </w:rPr>
      </w:pPr>
      <w:r>
        <w:rPr>
          <w:rFonts w:hint="eastAsia"/>
          <w:color w:val="000000"/>
        </w:rPr>
        <w:t>16）工艺图纸应有对外护套、钢铠、内护套、铜屏蔽打磨的工艺要求，并应要求半导电断口倒角且平滑过渡。</w:t>
      </w:r>
    </w:p>
    <w:p>
      <w:pPr>
        <w:pStyle w:val="19"/>
        <w:spacing w:line="360" w:lineRule="auto"/>
        <w:outlineLvl w:val="3"/>
        <w:rPr>
          <w:rFonts w:ascii="Times New Roman" w:hAnsi="Times New Roman"/>
          <w:kern w:val="2"/>
          <w:sz w:val="21"/>
          <w:szCs w:val="20"/>
        </w:rPr>
      </w:pPr>
      <w:r>
        <w:rPr>
          <w:rFonts w:ascii="Times New Roman" w:hAnsi="Times New Roman"/>
          <w:b/>
          <w:kern w:val="2"/>
          <w:sz w:val="21"/>
          <w:szCs w:val="20"/>
        </w:rPr>
        <w:t>5.2.2.3</w:t>
      </w:r>
      <w:r>
        <w:rPr>
          <w:rFonts w:ascii="Times New Roman" w:hAnsi="Times New Roman"/>
          <w:kern w:val="2"/>
          <w:sz w:val="21"/>
          <w:szCs w:val="20"/>
        </w:rPr>
        <w:t xml:space="preserve"> </w:t>
      </w:r>
      <w:r>
        <w:rPr>
          <w:rFonts w:hint="eastAsia" w:ascii="Times New Roman" w:hAnsi="Times New Roman"/>
          <w:kern w:val="2"/>
          <w:sz w:val="21"/>
          <w:szCs w:val="20"/>
        </w:rPr>
        <w:t>辅材要求</w:t>
      </w:r>
    </w:p>
    <w:p>
      <w:pPr>
        <w:spacing w:line="360" w:lineRule="auto"/>
        <w:ind w:firstLine="420" w:firstLineChars="200"/>
        <w:rPr>
          <w:color w:val="000000"/>
        </w:rPr>
      </w:pPr>
      <w:r>
        <w:rPr>
          <w:color w:val="000000"/>
        </w:rPr>
        <w:t>1</w:t>
      </w:r>
      <w:r>
        <w:rPr>
          <w:rFonts w:hint="eastAsia"/>
          <w:color w:val="000000"/>
        </w:rPr>
        <w:t>）清洁剂：应无毒、易挥发、易溶解油垢、水分含量≤</w:t>
      </w:r>
      <w:r>
        <w:rPr>
          <w:color w:val="000000"/>
        </w:rPr>
        <w:t>0.5%</w:t>
      </w:r>
      <w:r>
        <w:rPr>
          <w:rFonts w:hint="eastAsia"/>
          <w:color w:val="000000"/>
        </w:rPr>
        <w:t>，且不与绝缘屏蔽、电缆主绝缘、硅橡胶件相溶。</w:t>
      </w:r>
    </w:p>
    <w:p>
      <w:pPr>
        <w:spacing w:line="360" w:lineRule="auto"/>
        <w:ind w:firstLine="420" w:firstLineChars="200"/>
        <w:rPr>
          <w:color w:val="000000"/>
        </w:rPr>
      </w:pPr>
      <w:r>
        <w:rPr>
          <w:color w:val="000000"/>
        </w:rPr>
        <w:t>2</w:t>
      </w:r>
      <w:r>
        <w:rPr>
          <w:rFonts w:hint="eastAsia"/>
          <w:color w:val="000000"/>
        </w:rPr>
        <w:t>）恒力弹簧：铠装接地线采用恒力弹簧固定，不采用焊锡固定或铜丝捆扎。恢复电缆铜屏蔽层铜网应每相采用小恒力弹簧固定。恒力弹簧应采用优质无磁或微磁材料，运行过程中不得锈蚀，可提供长久的抱紧力，正常运行下无涡流和电位悬浮，并有模制的电缆附件制造企业标识。恒力弹簧在自然状态下不少于</w:t>
      </w:r>
      <w:r>
        <w:rPr>
          <w:color w:val="000000"/>
        </w:rPr>
        <w:t>5</w:t>
      </w:r>
      <w:r>
        <w:rPr>
          <w:rFonts w:hint="eastAsia"/>
          <w:color w:val="000000"/>
        </w:rPr>
        <w:t>层，</w:t>
      </w:r>
      <w:r>
        <w:rPr>
          <w:color w:val="000000"/>
        </w:rPr>
        <w:t xml:space="preserve"> </w:t>
      </w:r>
      <w:r>
        <w:rPr>
          <w:rFonts w:hint="eastAsia"/>
          <w:color w:val="000000"/>
        </w:rPr>
        <w:t>宽度不少于</w:t>
      </w:r>
      <w:r>
        <w:rPr>
          <w:color w:val="000000"/>
        </w:rPr>
        <w:t>15mm</w:t>
      </w:r>
      <w:r>
        <w:rPr>
          <w:rFonts w:hint="eastAsia"/>
          <w:color w:val="000000"/>
        </w:rPr>
        <w:t>。</w:t>
      </w:r>
      <w:r>
        <w:rPr>
          <w:color w:val="000000"/>
        </w:rPr>
        <w:t>恒力弹簧按实际接头按装10天后，取出恒力弹簧复原不应有明显的变形。</w:t>
      </w:r>
    </w:p>
    <w:p>
      <w:pPr>
        <w:spacing w:line="360" w:lineRule="auto"/>
        <w:ind w:firstLine="420" w:firstLineChars="200"/>
        <w:rPr>
          <w:color w:val="000000"/>
        </w:rPr>
      </w:pPr>
      <w:r>
        <w:rPr>
          <w:color w:val="000000"/>
        </w:rPr>
        <w:t>3</w:t>
      </w:r>
      <w:r>
        <w:rPr>
          <w:rFonts w:hint="eastAsia"/>
          <w:color w:val="000000"/>
        </w:rPr>
        <w:t>）支撑芯绳：电缆附件宜采用聚乙烯芯绳支撑方式，冷缩支撑芯绳从一端能够完整抽出。芯绳宜采用搭扣式方式，每圈芯绳都具有连续均匀的焊接点，以保证其足够的机械强度和安装时的均匀抽取。安装在芯绳上的电缆终端在</w:t>
      </w:r>
      <w:r>
        <w:rPr>
          <w:color w:val="000000"/>
        </w:rPr>
        <w:t>自然通风老化箱60</w:t>
      </w:r>
      <w:r>
        <w:rPr>
          <w:rFonts w:hint="eastAsia"/>
          <w:color w:val="000000"/>
        </w:rPr>
        <w:t>℃下</w:t>
      </w:r>
      <w:r>
        <w:rPr>
          <w:color w:val="000000"/>
        </w:rPr>
        <w:t>72</w:t>
      </w:r>
      <w:r>
        <w:rPr>
          <w:rFonts w:hint="eastAsia"/>
          <w:color w:val="000000"/>
        </w:rPr>
        <w:t>小时的老化试验后，不出现松垮、不塌陷等现象，且芯绳在抽出过程中不会出现明显的移位现象，同时满足中间接头的芯绳在将冷缩管剥除后，直接测量支撑芯绳的抗压强度，其值应不低于</w:t>
      </w:r>
      <w:r>
        <w:rPr>
          <w:color w:val="000000"/>
        </w:rPr>
        <w:t>0.5kN</w:t>
      </w:r>
      <w:r>
        <w:rPr>
          <w:rFonts w:hint="eastAsia"/>
          <w:color w:val="000000"/>
        </w:rPr>
        <w:t>。</w:t>
      </w:r>
    </w:p>
    <w:p>
      <w:pPr>
        <w:spacing w:line="360" w:lineRule="auto"/>
        <w:ind w:firstLine="420" w:firstLineChars="200"/>
        <w:rPr>
          <w:color w:val="000000"/>
        </w:rPr>
      </w:pPr>
      <w:r>
        <w:rPr>
          <w:color w:val="000000"/>
        </w:rPr>
        <w:t>4</w:t>
      </w:r>
      <w:r>
        <w:rPr>
          <w:rFonts w:hint="eastAsia"/>
          <w:color w:val="000000"/>
        </w:rPr>
        <w:t>）绝缘混合剂：中间接头内部和电缆主绝缘界面表面须采用不会被橡胶接头主体吸收或者干涸的绝缘混合剂以增强电气性能，绝缘混合剂必须长时间呈液态膏状，以填充气隙，不干涸或被硅橡胶接头主体吸收，且降低局部放电水平。其性能应至少满足附录</w:t>
      </w:r>
      <w:r>
        <w:rPr>
          <w:color w:val="000000"/>
        </w:rPr>
        <w:t>F</w:t>
      </w:r>
      <w:r>
        <w:rPr>
          <w:rFonts w:hint="eastAsia"/>
          <w:color w:val="000000"/>
        </w:rPr>
        <w:t>的要求。</w:t>
      </w:r>
      <w:r>
        <w:rPr>
          <w:color w:val="000000"/>
        </w:rPr>
        <w:t>供应商需提供</w:t>
      </w:r>
      <w:r>
        <w:rPr>
          <w:rFonts w:hint="eastAsia"/>
          <w:color w:val="000000"/>
        </w:rPr>
        <w:t>绝缘混合剂</w:t>
      </w:r>
      <w:r>
        <w:rPr>
          <w:color w:val="000000"/>
        </w:rPr>
        <w:t>的性能试验报告。</w:t>
      </w:r>
    </w:p>
    <w:p>
      <w:pPr>
        <w:spacing w:line="360" w:lineRule="auto"/>
        <w:ind w:firstLine="420" w:firstLineChars="200"/>
        <w:rPr>
          <w:color w:val="000000"/>
        </w:rPr>
      </w:pPr>
      <w:r>
        <w:rPr>
          <w:color w:val="000000"/>
        </w:rPr>
        <w:t>5</w:t>
      </w:r>
      <w:r>
        <w:rPr>
          <w:rFonts w:hint="eastAsia"/>
          <w:color w:val="000000"/>
        </w:rPr>
        <w:t>）绝缘自粘胶带：绝缘自粘胶带为乙丙橡胶带基的自融胶带，管芯上应印有清晰的生产厂家标志。正常运行温度不低于</w:t>
      </w:r>
      <w:r>
        <w:rPr>
          <w:color w:val="000000"/>
        </w:rPr>
        <w:t>90</w:t>
      </w:r>
      <w:r>
        <w:rPr>
          <w:rFonts w:hint="eastAsia"/>
          <w:color w:val="000000"/>
        </w:rPr>
        <w:t>℃，介电强度不低于</w:t>
      </w:r>
      <w:r>
        <w:rPr>
          <w:color w:val="000000"/>
        </w:rPr>
        <w:t>31kV/mm</w:t>
      </w:r>
      <w:r>
        <w:rPr>
          <w:rFonts w:hint="eastAsia"/>
          <w:color w:val="000000"/>
        </w:rPr>
        <w:t>。</w:t>
      </w:r>
      <w:r>
        <w:rPr>
          <w:color w:val="000000"/>
        </w:rPr>
        <w:t>供应商需提供</w:t>
      </w:r>
      <w:r>
        <w:rPr>
          <w:rFonts w:hint="eastAsia"/>
          <w:color w:val="000000"/>
        </w:rPr>
        <w:t>绝缘自粘胶带</w:t>
      </w:r>
      <w:r>
        <w:rPr>
          <w:color w:val="000000"/>
        </w:rPr>
        <w:t>的性能试验报告。</w:t>
      </w:r>
    </w:p>
    <w:p>
      <w:pPr>
        <w:spacing w:line="360" w:lineRule="auto"/>
        <w:ind w:firstLine="420" w:firstLineChars="200"/>
        <w:rPr>
          <w:color w:val="000000"/>
        </w:rPr>
      </w:pPr>
      <w:r>
        <w:rPr>
          <w:color w:val="000000"/>
        </w:rPr>
        <w:t>6</w:t>
      </w:r>
      <w:r>
        <w:rPr>
          <w:rFonts w:hint="eastAsia"/>
          <w:color w:val="000000"/>
        </w:rPr>
        <w:t>）半导电胶带：半导电胶带为从形性良好的乙丙橡胶带，易于拉伸，拉伸时也保持电导率，正常运行温度不低于</w:t>
      </w:r>
      <w:r>
        <w:rPr>
          <w:color w:val="000000"/>
        </w:rPr>
        <w:t>90</w:t>
      </w:r>
      <w:r>
        <w:rPr>
          <w:rFonts w:hint="eastAsia"/>
          <w:color w:val="000000"/>
        </w:rPr>
        <w:t>℃。</w:t>
      </w:r>
    </w:p>
    <w:p>
      <w:pPr>
        <w:spacing w:line="360" w:lineRule="auto"/>
        <w:ind w:firstLine="420" w:firstLineChars="200"/>
        <w:rPr>
          <w:rFonts w:hint="eastAsia" w:eastAsia="宋体"/>
          <w:color w:val="000000"/>
          <w:lang w:eastAsia="zh-CN"/>
        </w:rPr>
      </w:pPr>
      <w:r>
        <w:rPr>
          <w:color w:val="000000"/>
        </w:rPr>
        <w:t>7</w:t>
      </w:r>
      <w:r>
        <w:rPr>
          <w:rFonts w:hint="eastAsia"/>
          <w:color w:val="000000"/>
        </w:rPr>
        <w:t>）防水胶带：采用防水胶带结构时，应具有以下特性（</w:t>
      </w:r>
      <w:r>
        <w:rPr>
          <w:color w:val="000000"/>
        </w:rPr>
        <w:t>1</w:t>
      </w:r>
      <w:r>
        <w:rPr>
          <w:rFonts w:hint="eastAsia"/>
          <w:color w:val="000000"/>
        </w:rPr>
        <w:t>）防水胶带离型纸或管芯上应印有清晰的生产厂家标志；（</w:t>
      </w:r>
      <w:r>
        <w:rPr>
          <w:color w:val="000000"/>
        </w:rPr>
        <w:t>2</w:t>
      </w:r>
      <w:r>
        <w:rPr>
          <w:rFonts w:hint="eastAsia"/>
          <w:color w:val="000000"/>
        </w:rPr>
        <w:t>）绝缘防水胶带须有优良的防水密封性能和绝缘性能，与各种电缆相容性好；（</w:t>
      </w:r>
      <w:r>
        <w:rPr>
          <w:color w:val="000000"/>
        </w:rPr>
        <w:t>3</w:t>
      </w:r>
      <w:r>
        <w:rPr>
          <w:rFonts w:hint="eastAsia"/>
          <w:color w:val="000000"/>
        </w:rPr>
        <w:t>）防水胶带的粘性不低于</w:t>
      </w:r>
      <w:r>
        <w:rPr>
          <w:color w:val="000000"/>
        </w:rPr>
        <w:t>26N/10mm</w:t>
      </w:r>
      <w:r>
        <w:rPr>
          <w:rFonts w:hint="eastAsia"/>
          <w:color w:val="000000"/>
        </w:rPr>
        <w:t>（对钢板），</w:t>
      </w:r>
      <w:r>
        <w:rPr>
          <w:color w:val="000000"/>
        </w:rPr>
        <w:t>17N/10mm</w:t>
      </w:r>
      <w:r>
        <w:rPr>
          <w:rFonts w:hint="eastAsia"/>
          <w:color w:val="000000"/>
        </w:rPr>
        <w:t>（对聚乙烯）；（</w:t>
      </w:r>
      <w:r>
        <w:rPr>
          <w:color w:val="000000"/>
        </w:rPr>
        <w:t>4</w:t>
      </w:r>
      <w:r>
        <w:rPr>
          <w:rFonts w:hint="eastAsia"/>
          <w:color w:val="000000"/>
        </w:rPr>
        <w:t>）防水胶带的吸水率不高于</w:t>
      </w:r>
      <w:r>
        <w:rPr>
          <w:color w:val="000000"/>
        </w:rPr>
        <w:t>0.15%</w:t>
      </w:r>
      <w:r>
        <w:rPr>
          <w:rFonts w:hint="eastAsia"/>
          <w:color w:val="000000"/>
        </w:rPr>
        <w:t>，参考测试标准为</w:t>
      </w:r>
      <w:r>
        <w:rPr>
          <w:color w:val="000000"/>
        </w:rPr>
        <w:t>ASTM D-570</w:t>
      </w:r>
      <w:r>
        <w:rPr>
          <w:rFonts w:hint="eastAsia"/>
          <w:color w:val="000000"/>
        </w:rPr>
        <w:t>；（</w:t>
      </w:r>
      <w:r>
        <w:rPr>
          <w:color w:val="000000"/>
        </w:rPr>
        <w:t>5</w:t>
      </w:r>
      <w:r>
        <w:rPr>
          <w:rFonts w:hint="eastAsia"/>
          <w:color w:val="000000"/>
        </w:rPr>
        <w:t>）将防水带紧密绕包端部两层的空心管浸入水中，从管子另一侧打入</w:t>
      </w:r>
      <w:r>
        <w:rPr>
          <w:color w:val="000000"/>
        </w:rPr>
        <w:t>80kg</w:t>
      </w:r>
      <w:r>
        <w:rPr>
          <w:rFonts w:hint="eastAsia"/>
          <w:color w:val="000000"/>
        </w:rPr>
        <w:t>气压的保气试验，观察是否有气泡从水中渗出，应</w:t>
      </w:r>
      <w:r>
        <w:rPr>
          <w:color w:val="000000"/>
        </w:rPr>
        <w:t>15</w:t>
      </w:r>
      <w:r>
        <w:rPr>
          <w:rFonts w:hint="eastAsia"/>
          <w:color w:val="000000"/>
        </w:rPr>
        <w:t>分钟无泄漏；</w:t>
      </w:r>
      <w:r>
        <w:rPr>
          <w:color w:val="000000"/>
        </w:rPr>
        <w:t>（6）供应商需提供</w:t>
      </w:r>
      <w:r>
        <w:rPr>
          <w:rFonts w:hint="eastAsia"/>
          <w:color w:val="000000"/>
        </w:rPr>
        <w:t>防水胶带</w:t>
      </w:r>
      <w:r>
        <w:rPr>
          <w:color w:val="000000"/>
        </w:rPr>
        <w:t>的性能试验报告</w:t>
      </w:r>
      <w:r>
        <w:rPr>
          <w:rFonts w:hint="eastAsia"/>
          <w:color w:val="000000"/>
          <w:lang w:eastAsia="zh-CN"/>
        </w:rPr>
        <w:t>；（7）防水带要求总长度≥25m，宽度≥50mm，厚度≥1.5mm，且防水带材长度要求能满足来回绕包内护套、外护套的需求。</w:t>
      </w:r>
    </w:p>
    <w:p>
      <w:pPr>
        <w:spacing w:line="360" w:lineRule="auto"/>
        <w:ind w:firstLine="420" w:firstLineChars="200"/>
        <w:rPr>
          <w:color w:val="000000"/>
        </w:rPr>
      </w:pPr>
      <w:r>
        <w:rPr>
          <w:color w:val="000000"/>
        </w:rPr>
        <w:t>8</w:t>
      </w:r>
      <w:r>
        <w:rPr>
          <w:rFonts w:hint="eastAsia"/>
          <w:color w:val="000000"/>
        </w:rPr>
        <w:t>）装甲带：</w:t>
      </w:r>
      <w:r>
        <w:rPr>
          <w:color w:val="000000"/>
        </w:rPr>
        <w:t>除满足JB/T10740.2要求外，还需满足以下要求：</w:t>
      </w:r>
      <w:r>
        <w:rPr>
          <w:rFonts w:hint="eastAsia"/>
          <w:color w:val="000000"/>
        </w:rPr>
        <w:t>（</w:t>
      </w:r>
      <w:r>
        <w:rPr>
          <w:color w:val="000000"/>
        </w:rPr>
        <w:t>1</w:t>
      </w:r>
      <w:r>
        <w:rPr>
          <w:rFonts w:hint="eastAsia"/>
          <w:color w:val="000000"/>
        </w:rPr>
        <w:t>）装甲带应采用真空包装，在安装完成后</w:t>
      </w:r>
      <w:r>
        <w:rPr>
          <w:color w:val="000000"/>
        </w:rPr>
        <w:t>20</w:t>
      </w:r>
      <w:r>
        <w:rPr>
          <w:rFonts w:hint="eastAsia"/>
          <w:color w:val="000000"/>
        </w:rPr>
        <w:t>分钟左右完全固化。（</w:t>
      </w:r>
      <w:r>
        <w:rPr>
          <w:color w:val="000000"/>
        </w:rPr>
        <w:t>2</w:t>
      </w:r>
      <w:r>
        <w:rPr>
          <w:rFonts w:hint="eastAsia"/>
          <w:color w:val="000000"/>
        </w:rPr>
        <w:t>）装甲带应满足绕包五层装甲带成直径约</w:t>
      </w:r>
      <w:r>
        <w:rPr>
          <w:color w:val="000000"/>
        </w:rPr>
        <w:t>80mm</w:t>
      </w:r>
      <w:r>
        <w:rPr>
          <w:rFonts w:hint="eastAsia"/>
          <w:color w:val="000000"/>
        </w:rPr>
        <w:t>的圆柱体，完全固化后，能承受</w:t>
      </w:r>
      <w:r>
        <w:rPr>
          <w:color w:val="000000"/>
        </w:rPr>
        <w:t>1.2kN</w:t>
      </w:r>
      <w:r>
        <w:rPr>
          <w:rFonts w:hint="eastAsia"/>
          <w:color w:val="000000"/>
        </w:rPr>
        <w:t>的压力不变形，不松垮。</w:t>
      </w:r>
      <w:r>
        <w:rPr>
          <w:color w:val="000000"/>
        </w:rPr>
        <w:t>供应商需提供装甲带的性能试验报告。</w:t>
      </w:r>
    </w:p>
    <w:p>
      <w:pPr>
        <w:spacing w:line="360" w:lineRule="auto"/>
        <w:ind w:firstLine="420" w:firstLineChars="200"/>
        <w:rPr>
          <w:color w:val="000000"/>
        </w:rPr>
      </w:pPr>
      <w:r>
        <w:rPr>
          <w:color w:val="000000"/>
        </w:rPr>
        <w:t>9）</w:t>
      </w:r>
      <w:r>
        <w:rPr>
          <w:rFonts w:hint="eastAsia"/>
          <w:color w:val="000000"/>
        </w:rPr>
        <w:t>浇注树脂</w:t>
      </w:r>
      <w:r>
        <w:rPr>
          <w:color w:val="000000"/>
        </w:rPr>
        <w:t>：采用</w:t>
      </w:r>
      <w:r>
        <w:rPr>
          <w:rFonts w:hint="eastAsia"/>
          <w:color w:val="000000"/>
        </w:rPr>
        <w:t>树脂浇注</w:t>
      </w:r>
      <w:r>
        <w:rPr>
          <w:color w:val="000000"/>
        </w:rPr>
        <w:t>的防水和外护套保护时，供应商需提供</w:t>
      </w:r>
      <w:r>
        <w:rPr>
          <w:rFonts w:hint="eastAsia"/>
          <w:color w:val="000000"/>
        </w:rPr>
        <w:t>树脂浇注</w:t>
      </w:r>
      <w:r>
        <w:rPr>
          <w:color w:val="000000"/>
        </w:rPr>
        <w:t>的防水性能和机械强度的性能试验报告。</w:t>
      </w:r>
    </w:p>
    <w:p>
      <w:pPr>
        <w:spacing w:line="360" w:lineRule="auto"/>
        <w:ind w:firstLine="420" w:firstLineChars="200"/>
        <w:rPr>
          <w:rFonts w:hint="eastAsia"/>
          <w:color w:val="000000"/>
        </w:rPr>
      </w:pPr>
      <w:r>
        <w:rPr>
          <w:color w:val="000000"/>
        </w:rPr>
        <w:t>10</w:t>
      </w:r>
      <w:r>
        <w:rPr>
          <w:rFonts w:hint="eastAsia"/>
          <w:color w:val="000000"/>
        </w:rPr>
        <w:t>）连接金具：导体连接金具应符合</w:t>
      </w:r>
      <w:r>
        <w:rPr>
          <w:color w:val="000000"/>
        </w:rPr>
        <w:t>GB/T 14315</w:t>
      </w:r>
      <w:r>
        <w:rPr>
          <w:rFonts w:hint="eastAsia"/>
          <w:color w:val="000000"/>
        </w:rPr>
        <w:t>中的相应规定，铜铝过渡连接管的直流电阻应不大于相同长度、相同截面铝导体直流电阻的</w:t>
      </w:r>
      <w:r>
        <w:rPr>
          <w:color w:val="000000"/>
        </w:rPr>
        <w:t>1.2</w:t>
      </w:r>
      <w:r>
        <w:rPr>
          <w:rFonts w:hint="eastAsia"/>
          <w:color w:val="000000"/>
        </w:rPr>
        <w:t>倍。同一套附件中，三根直通头连接管长度误差应不大于2mm。</w:t>
      </w:r>
    </w:p>
    <w:p>
      <w:pPr>
        <w:spacing w:line="360" w:lineRule="auto"/>
        <w:ind w:firstLine="420" w:firstLineChars="200"/>
        <w:rPr>
          <w:rFonts w:hint="eastAsia"/>
          <w:color w:val="000000"/>
        </w:rPr>
      </w:pPr>
      <w:r>
        <w:rPr>
          <w:rFonts w:hint="eastAsia"/>
          <w:color w:val="000000"/>
        </w:rPr>
        <w:t>11）砂布：每套产品至少应配置1米400目砂纸（宽度40mm）。</w:t>
      </w:r>
    </w:p>
    <w:bookmarkEnd w:id="77"/>
    <w:p>
      <w:pPr>
        <w:pStyle w:val="186"/>
        <w:numPr>
          <w:ilvl w:val="0"/>
          <w:numId w:val="1"/>
        </w:numPr>
        <w:tabs>
          <w:tab w:val="clear" w:pos="425"/>
        </w:tabs>
        <w:spacing w:before="312" w:after="312"/>
        <w:ind w:left="0" w:firstLine="0"/>
        <w:rPr>
          <w:rFonts w:ascii="Times New Roman" w:cs="Times New Roman"/>
        </w:rPr>
      </w:pPr>
      <w:bookmarkStart w:id="98" w:name="_Toc13030"/>
      <w:bookmarkStart w:id="99" w:name="_Toc30477"/>
      <w:bookmarkStart w:id="100" w:name="_Toc305941526"/>
      <w:bookmarkStart w:id="101" w:name="_Toc417246353"/>
      <w:bookmarkStart w:id="102" w:name="_Toc305941237"/>
      <w:bookmarkStart w:id="103" w:name="_Toc5672"/>
      <w:r>
        <w:rPr>
          <w:rFonts w:hint="eastAsia" w:ascii="Times New Roman" w:cs="Times New Roman"/>
        </w:rPr>
        <w:t>试验</w:t>
      </w:r>
      <w:bookmarkEnd w:id="98"/>
    </w:p>
    <w:bookmarkEnd w:id="78"/>
    <w:bookmarkEnd w:id="79"/>
    <w:bookmarkEnd w:id="80"/>
    <w:bookmarkEnd w:id="99"/>
    <w:bookmarkEnd w:id="100"/>
    <w:bookmarkEnd w:id="101"/>
    <w:bookmarkEnd w:id="102"/>
    <w:bookmarkEnd w:id="103"/>
    <w:p>
      <w:pPr>
        <w:pStyle w:val="188"/>
        <w:rPr>
          <w:rFonts w:ascii="Times New Roman" w:cs="Times New Roman"/>
          <w:b/>
        </w:rPr>
      </w:pPr>
      <w:bookmarkStart w:id="104" w:name="_Toc25454"/>
      <w:bookmarkStart w:id="105" w:name="_Toc276490910"/>
      <w:bookmarkStart w:id="106" w:name="_Toc276492422"/>
      <w:r>
        <w:rPr>
          <w:rFonts w:ascii="Times New Roman" w:cs="Times New Roman"/>
          <w:b/>
        </w:rPr>
        <w:t>6</w:t>
      </w:r>
      <w:bookmarkStart w:id="107" w:name="_Toc285718279"/>
      <w:bookmarkStart w:id="108" w:name="_Toc305941238"/>
      <w:bookmarkStart w:id="109" w:name="_Toc305941527"/>
      <w:bookmarkStart w:id="110" w:name="_Toc417246354"/>
      <w:r>
        <w:rPr>
          <w:rFonts w:ascii="Times New Roman" w:cs="Times New Roman"/>
          <w:b/>
        </w:rPr>
        <w:t>.1</w:t>
      </w:r>
      <w:r>
        <w:rPr>
          <w:rFonts w:hint="eastAsia" w:ascii="Times New Roman" w:cs="Times New Roman"/>
          <w:b/>
        </w:rPr>
        <w:t xml:space="preserve"> </w:t>
      </w:r>
      <w:r>
        <w:rPr>
          <w:rFonts w:hint="eastAsia" w:ascii="Times New Roman" w:cs="Times New Roman"/>
        </w:rPr>
        <w:t>试</w:t>
      </w:r>
      <w:bookmarkEnd w:id="107"/>
      <w:bookmarkEnd w:id="108"/>
      <w:bookmarkEnd w:id="109"/>
      <w:r>
        <w:rPr>
          <w:rFonts w:hint="eastAsia" w:ascii="Times New Roman" w:cs="Times New Roman"/>
        </w:rPr>
        <w:t>验项目</w:t>
      </w:r>
      <w:r>
        <w:rPr>
          <w:rFonts w:ascii="Times New Roman" w:cs="Times New Roman"/>
        </w:rPr>
        <w:t>要求</w:t>
      </w:r>
      <w:bookmarkEnd w:id="104"/>
    </w:p>
    <w:p>
      <w:pPr>
        <w:widowControl/>
        <w:jc w:val="center"/>
        <w:rPr>
          <w:color w:val="000000"/>
          <w:kern w:val="0"/>
          <w:sz w:val="22"/>
          <w:szCs w:val="22"/>
        </w:rPr>
        <w:sectPr>
          <w:pgSz w:w="11906" w:h="16838"/>
          <w:pgMar w:top="1134" w:right="1134" w:bottom="1134" w:left="1134" w:header="851" w:footer="510" w:gutter="0"/>
          <w:cols w:space="720" w:num="1"/>
          <w:docGrid w:type="lines" w:linePitch="312" w:charSpace="0"/>
        </w:sectPr>
      </w:pPr>
    </w:p>
    <w:bookmarkEnd w:id="110"/>
    <w:p>
      <w:pPr>
        <w:pStyle w:val="188"/>
        <w:rPr>
          <w:rFonts w:ascii="Times New Roman" w:cs="Times New Roman"/>
          <w:b/>
        </w:rPr>
      </w:pPr>
      <w:bookmarkStart w:id="111" w:name="_Toc7369"/>
      <w:r>
        <w:rPr>
          <w:rFonts w:ascii="Times New Roman" w:cs="Times New Roman"/>
          <w:b/>
        </w:rPr>
        <w:t xml:space="preserve">6.1.1 </w:t>
      </w:r>
      <w:r>
        <w:rPr>
          <w:rFonts w:ascii="Times New Roman" w:cs="Times New Roman"/>
        </w:rPr>
        <w:t>电缆终端</w:t>
      </w:r>
      <w:bookmarkEnd w:id="111"/>
    </w:p>
    <w:p>
      <w:pPr>
        <w:pStyle w:val="184"/>
      </w:pPr>
      <w:r>
        <w:rPr>
          <w:rFonts w:hint="eastAsia"/>
        </w:rPr>
        <w:t>表1  电缆终端试验项目要求</w:t>
      </w:r>
    </w:p>
    <w:tbl>
      <w:tblPr>
        <w:tblStyle w:val="38"/>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2536"/>
        <w:gridCol w:w="2372"/>
        <w:gridCol w:w="1136"/>
        <w:gridCol w:w="1275"/>
        <w:gridCol w:w="1133"/>
        <w:gridCol w:w="1136"/>
        <w:gridCol w:w="991"/>
        <w:gridCol w:w="1136"/>
        <w:gridCol w:w="91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trPr>
        <w:tc>
          <w:tcPr>
            <w:tcW w:w="868" w:type="dxa"/>
            <w:vAlign w:val="center"/>
          </w:tcPr>
          <w:p>
            <w:pPr>
              <w:adjustRightInd w:val="0"/>
              <w:jc w:val="center"/>
              <w:rPr>
                <w:sz w:val="18"/>
                <w:szCs w:val="18"/>
              </w:rPr>
            </w:pPr>
            <w:r>
              <w:rPr>
                <w:sz w:val="18"/>
                <w:szCs w:val="18"/>
              </w:rPr>
              <w:t>序号</w:t>
            </w:r>
          </w:p>
        </w:tc>
        <w:tc>
          <w:tcPr>
            <w:tcW w:w="4908" w:type="dxa"/>
            <w:gridSpan w:val="2"/>
            <w:vAlign w:val="center"/>
          </w:tcPr>
          <w:p>
            <w:pPr>
              <w:adjustRightInd w:val="0"/>
              <w:jc w:val="center"/>
              <w:rPr>
                <w:sz w:val="18"/>
                <w:szCs w:val="18"/>
              </w:rPr>
            </w:pPr>
            <w:r>
              <w:rPr>
                <w:sz w:val="18"/>
                <w:szCs w:val="18"/>
              </w:rPr>
              <w:t>试验项目</w:t>
            </w:r>
            <w:r>
              <w:rPr>
                <w:sz w:val="18"/>
                <w:szCs w:val="18"/>
              </w:rPr>
              <w:pict>
                <v:shape id="_x0000_i1027" o:spt="75" type="#_x0000_t75" style="height:16.2pt;width:8.4pt;" filled="f" o:preferrelative="t" stroked="f" coordsize="21600,21600">
                  <v:path/>
                  <v:fill on="f" focussize="0,0"/>
                  <v:stroke on="f" joinstyle="miter"/>
                  <v:imagedata r:id="rId20" o:title=""/>
                  <o:lock v:ext="edit" aspectratio="t"/>
                  <w10:wrap type="none"/>
                  <w10:anchorlock/>
                </v:shape>
              </w:pict>
            </w:r>
          </w:p>
        </w:tc>
        <w:tc>
          <w:tcPr>
            <w:tcW w:w="1136" w:type="dxa"/>
            <w:vAlign w:val="center"/>
          </w:tcPr>
          <w:p>
            <w:pPr>
              <w:adjustRightInd w:val="0"/>
              <w:jc w:val="center"/>
              <w:rPr>
                <w:sz w:val="18"/>
                <w:szCs w:val="18"/>
              </w:rPr>
            </w:pPr>
            <w:r>
              <w:rPr>
                <w:sz w:val="18"/>
                <w:szCs w:val="18"/>
              </w:rPr>
              <w:t>型式试验</w:t>
            </w:r>
          </w:p>
        </w:tc>
        <w:tc>
          <w:tcPr>
            <w:tcW w:w="1275" w:type="dxa"/>
            <w:vAlign w:val="center"/>
          </w:tcPr>
          <w:p>
            <w:pPr>
              <w:adjustRightInd w:val="0"/>
              <w:jc w:val="center"/>
              <w:rPr>
                <w:sz w:val="18"/>
                <w:szCs w:val="18"/>
              </w:rPr>
            </w:pPr>
            <w:r>
              <w:rPr>
                <w:sz w:val="18"/>
                <w:szCs w:val="18"/>
              </w:rPr>
              <w:t>例行试验</w:t>
            </w:r>
          </w:p>
        </w:tc>
        <w:tc>
          <w:tcPr>
            <w:tcW w:w="1133" w:type="dxa"/>
            <w:vAlign w:val="center"/>
          </w:tcPr>
          <w:p>
            <w:pPr>
              <w:adjustRightInd w:val="0"/>
              <w:jc w:val="center"/>
              <w:rPr>
                <w:sz w:val="18"/>
                <w:szCs w:val="18"/>
              </w:rPr>
            </w:pPr>
            <w:r>
              <w:rPr>
                <w:sz w:val="18"/>
                <w:szCs w:val="18"/>
              </w:rPr>
              <w:t>出厂试验</w:t>
            </w:r>
          </w:p>
        </w:tc>
        <w:tc>
          <w:tcPr>
            <w:tcW w:w="1136" w:type="dxa"/>
            <w:vAlign w:val="center"/>
          </w:tcPr>
          <w:p>
            <w:pPr>
              <w:adjustRightInd w:val="0"/>
              <w:jc w:val="center"/>
              <w:rPr>
                <w:sz w:val="18"/>
                <w:szCs w:val="18"/>
              </w:rPr>
            </w:pPr>
            <w:r>
              <w:rPr>
                <w:sz w:val="18"/>
                <w:szCs w:val="18"/>
              </w:rPr>
              <w:t>送样检测</w:t>
            </w:r>
          </w:p>
        </w:tc>
        <w:tc>
          <w:tcPr>
            <w:tcW w:w="991" w:type="dxa"/>
            <w:vAlign w:val="center"/>
          </w:tcPr>
          <w:p>
            <w:pPr>
              <w:adjustRightInd w:val="0"/>
              <w:jc w:val="center"/>
              <w:rPr>
                <w:sz w:val="18"/>
                <w:szCs w:val="18"/>
              </w:rPr>
            </w:pPr>
            <w:r>
              <w:rPr>
                <w:sz w:val="18"/>
                <w:szCs w:val="18"/>
              </w:rPr>
              <w:t>专项抽检</w:t>
            </w:r>
          </w:p>
        </w:tc>
        <w:tc>
          <w:tcPr>
            <w:tcW w:w="1136" w:type="dxa"/>
            <w:vAlign w:val="center"/>
          </w:tcPr>
          <w:p>
            <w:pPr>
              <w:adjustRightInd w:val="0"/>
              <w:jc w:val="center"/>
              <w:rPr>
                <w:sz w:val="18"/>
                <w:szCs w:val="18"/>
              </w:rPr>
            </w:pPr>
            <w:r>
              <w:rPr>
                <w:sz w:val="18"/>
                <w:szCs w:val="18"/>
              </w:rPr>
              <w:t>到货抽检</w:t>
            </w:r>
          </w:p>
        </w:tc>
        <w:tc>
          <w:tcPr>
            <w:tcW w:w="911" w:type="dxa"/>
            <w:vAlign w:val="center"/>
          </w:tcPr>
          <w:p>
            <w:pPr>
              <w:adjustRightInd w:val="0"/>
              <w:jc w:val="center"/>
              <w:rPr>
                <w:sz w:val="18"/>
                <w:szCs w:val="18"/>
              </w:rPr>
            </w:pPr>
            <w:r>
              <w:rPr>
                <w:sz w:val="18"/>
                <w:szCs w:val="18"/>
              </w:rPr>
              <w:t>交接试验</w:t>
            </w:r>
          </w:p>
        </w:tc>
        <w:tc>
          <w:tcPr>
            <w:tcW w:w="1292" w:type="dxa"/>
            <w:vAlign w:val="center"/>
          </w:tcPr>
          <w:p>
            <w:pPr>
              <w:adjustRightInd w:val="0"/>
              <w:jc w:val="center"/>
              <w:rPr>
                <w:sz w:val="18"/>
                <w:szCs w:val="18"/>
              </w:rPr>
            </w:pPr>
            <w:r>
              <w:rPr>
                <w:sz w:val="18"/>
                <w:szCs w:val="18"/>
              </w:rPr>
              <w:t>预防性试验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1</w:t>
            </w:r>
          </w:p>
        </w:tc>
        <w:tc>
          <w:tcPr>
            <w:tcW w:w="4908" w:type="dxa"/>
            <w:gridSpan w:val="2"/>
            <w:vAlign w:val="center"/>
          </w:tcPr>
          <w:p>
            <w:pPr>
              <w:adjustRightInd w:val="0"/>
              <w:jc w:val="center"/>
              <w:rPr>
                <w:sz w:val="18"/>
                <w:szCs w:val="18"/>
              </w:rPr>
            </w:pPr>
            <w:r>
              <w:rPr>
                <w:sz w:val="18"/>
                <w:szCs w:val="18"/>
              </w:rPr>
              <w:t>标示、外观检查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可选</w:t>
            </w:r>
          </w:p>
        </w:tc>
        <w:tc>
          <w:tcPr>
            <w:tcW w:w="1292"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2</w:t>
            </w:r>
          </w:p>
        </w:tc>
        <w:tc>
          <w:tcPr>
            <w:tcW w:w="4908" w:type="dxa"/>
            <w:gridSpan w:val="2"/>
            <w:vAlign w:val="center"/>
          </w:tcPr>
          <w:p>
            <w:pPr>
              <w:adjustRightInd w:val="0"/>
              <w:jc w:val="center"/>
              <w:rPr>
                <w:sz w:val="18"/>
                <w:szCs w:val="18"/>
              </w:rPr>
            </w:pPr>
            <w:r>
              <w:rPr>
                <w:sz w:val="18"/>
                <w:szCs w:val="18"/>
              </w:rPr>
              <w:t>结构、尺寸检查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可选</w:t>
            </w:r>
          </w:p>
        </w:tc>
        <w:tc>
          <w:tcPr>
            <w:tcW w:w="1292"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3</w:t>
            </w:r>
          </w:p>
        </w:tc>
        <w:tc>
          <w:tcPr>
            <w:tcW w:w="4908" w:type="dxa"/>
            <w:gridSpan w:val="2"/>
            <w:vAlign w:val="center"/>
          </w:tcPr>
          <w:p>
            <w:pPr>
              <w:adjustRightInd w:val="0"/>
              <w:jc w:val="center"/>
              <w:rPr>
                <w:sz w:val="18"/>
                <w:szCs w:val="18"/>
              </w:rPr>
            </w:pPr>
            <w:r>
              <w:rPr>
                <w:sz w:val="18"/>
                <w:szCs w:val="18"/>
              </w:rPr>
              <w:t>出厂试验报告检查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必选</w:t>
            </w:r>
          </w:p>
        </w:tc>
        <w:tc>
          <w:tcPr>
            <w:tcW w:w="1292"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4</w:t>
            </w:r>
          </w:p>
        </w:tc>
        <w:tc>
          <w:tcPr>
            <w:tcW w:w="4908" w:type="dxa"/>
            <w:gridSpan w:val="2"/>
            <w:vAlign w:val="center"/>
          </w:tcPr>
          <w:p>
            <w:pPr>
              <w:adjustRightInd w:val="0"/>
              <w:jc w:val="center"/>
              <w:rPr>
                <w:sz w:val="18"/>
                <w:szCs w:val="18"/>
              </w:rPr>
            </w:pPr>
            <w:r>
              <w:rPr>
                <w:sz w:val="18"/>
                <w:szCs w:val="18"/>
              </w:rPr>
              <w:t>型式试验报告检查</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第一次入网必选，其他可选</w:t>
            </w:r>
          </w:p>
        </w:tc>
        <w:tc>
          <w:tcPr>
            <w:tcW w:w="911" w:type="dxa"/>
            <w:vAlign w:val="center"/>
          </w:tcPr>
          <w:p>
            <w:pPr>
              <w:adjustRightInd w:val="0"/>
              <w:jc w:val="center"/>
              <w:rPr>
                <w:sz w:val="18"/>
                <w:szCs w:val="18"/>
              </w:rPr>
            </w:pPr>
            <w:r>
              <w:rPr>
                <w:sz w:val="18"/>
                <w:szCs w:val="18"/>
              </w:rPr>
              <w:t>可选</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5</w:t>
            </w:r>
          </w:p>
        </w:tc>
        <w:tc>
          <w:tcPr>
            <w:tcW w:w="4908" w:type="dxa"/>
            <w:gridSpan w:val="2"/>
            <w:vAlign w:val="center"/>
          </w:tcPr>
          <w:p>
            <w:pPr>
              <w:adjustRightInd w:val="0"/>
              <w:jc w:val="center"/>
              <w:rPr>
                <w:sz w:val="18"/>
                <w:szCs w:val="18"/>
              </w:rPr>
            </w:pPr>
            <w:r>
              <w:rPr>
                <w:sz w:val="18"/>
                <w:szCs w:val="18"/>
              </w:rPr>
              <w:t>户外终端相色标示、高温硫化硅橡胶材料、绝缘填充剂相容性、绝缘混合剂、绝缘自粘胶带、防水胶带、浇注树脂等性能试验报告检查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第一次入网必选，其他可选</w:t>
            </w:r>
          </w:p>
        </w:tc>
        <w:tc>
          <w:tcPr>
            <w:tcW w:w="911" w:type="dxa"/>
            <w:vAlign w:val="center"/>
          </w:tcPr>
          <w:p>
            <w:pPr>
              <w:adjustRightInd w:val="0"/>
              <w:jc w:val="center"/>
              <w:rPr>
                <w:sz w:val="18"/>
                <w:szCs w:val="18"/>
              </w:rPr>
            </w:pPr>
            <w:r>
              <w:rPr>
                <w:sz w:val="18"/>
                <w:szCs w:val="18"/>
              </w:rPr>
              <w:t>可选</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6</w:t>
            </w:r>
          </w:p>
        </w:tc>
        <w:tc>
          <w:tcPr>
            <w:tcW w:w="4908" w:type="dxa"/>
            <w:gridSpan w:val="2"/>
            <w:vAlign w:val="center"/>
          </w:tcPr>
          <w:p>
            <w:pPr>
              <w:adjustRightInd w:val="0"/>
              <w:jc w:val="center"/>
              <w:rPr>
                <w:sz w:val="18"/>
                <w:szCs w:val="18"/>
              </w:rPr>
            </w:pPr>
            <w:r>
              <w:rPr>
                <w:rFonts w:hint="eastAsia"/>
                <w:sz w:val="18"/>
                <w:szCs w:val="18"/>
              </w:rPr>
              <w:t>冷缩附件</w:t>
            </w:r>
            <w:r>
              <w:rPr>
                <w:sz w:val="18"/>
                <w:szCs w:val="18"/>
              </w:rPr>
              <w:t>整体老化后永久变形率试验（100</w:t>
            </w:r>
            <w:r>
              <w:rPr>
                <w:rFonts w:hint="eastAsia"/>
                <w:sz w:val="18"/>
                <w:szCs w:val="18"/>
              </w:rPr>
              <w:t>℃下</w:t>
            </w:r>
            <w:r>
              <w:rPr>
                <w:sz w:val="18"/>
                <w:szCs w:val="18"/>
              </w:rPr>
              <w:t>3</w:t>
            </w:r>
            <w:r>
              <w:rPr>
                <w:rFonts w:hint="eastAsia"/>
                <w:sz w:val="18"/>
                <w:szCs w:val="18"/>
              </w:rPr>
              <w:t>小时</w:t>
            </w:r>
            <w:r>
              <w:rPr>
                <w:sz w:val="18"/>
                <w:szCs w:val="18"/>
              </w:rPr>
              <w:t>）</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7</w:t>
            </w:r>
          </w:p>
        </w:tc>
        <w:tc>
          <w:tcPr>
            <w:tcW w:w="4908" w:type="dxa"/>
            <w:gridSpan w:val="2"/>
            <w:vAlign w:val="center"/>
          </w:tcPr>
          <w:p>
            <w:pPr>
              <w:adjustRightInd w:val="0"/>
              <w:jc w:val="center"/>
              <w:rPr>
                <w:sz w:val="18"/>
                <w:szCs w:val="18"/>
              </w:rPr>
            </w:pPr>
            <w:r>
              <w:rPr>
                <w:sz w:val="18"/>
                <w:szCs w:val="18"/>
              </w:rPr>
              <w:t>冷缩扩张率</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8</w:t>
            </w:r>
          </w:p>
        </w:tc>
        <w:tc>
          <w:tcPr>
            <w:tcW w:w="4908" w:type="dxa"/>
            <w:gridSpan w:val="2"/>
            <w:vAlign w:val="center"/>
          </w:tcPr>
          <w:p>
            <w:pPr>
              <w:adjustRightInd w:val="0"/>
              <w:jc w:val="center"/>
              <w:rPr>
                <w:sz w:val="18"/>
                <w:szCs w:val="18"/>
              </w:rPr>
            </w:pPr>
            <w:r>
              <w:rPr>
                <w:sz w:val="18"/>
                <w:szCs w:val="18"/>
              </w:rPr>
              <w:t>电缆主绝缘上的扩张率</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9</w:t>
            </w:r>
          </w:p>
        </w:tc>
        <w:tc>
          <w:tcPr>
            <w:tcW w:w="4908" w:type="dxa"/>
            <w:gridSpan w:val="2"/>
            <w:vAlign w:val="center"/>
          </w:tcPr>
          <w:p>
            <w:pPr>
              <w:adjustRightInd w:val="0"/>
              <w:jc w:val="center"/>
              <w:rPr>
                <w:sz w:val="18"/>
                <w:szCs w:val="18"/>
              </w:rPr>
            </w:pPr>
            <w:r>
              <w:rPr>
                <w:sz w:val="18"/>
                <w:szCs w:val="18"/>
              </w:rPr>
              <w:t>支撑芯绳老化试验（60</w:t>
            </w:r>
            <w:r>
              <w:rPr>
                <w:rFonts w:hint="eastAsia"/>
                <w:sz w:val="18"/>
                <w:szCs w:val="18"/>
              </w:rPr>
              <w:t>℃下</w:t>
            </w:r>
            <w:r>
              <w:rPr>
                <w:sz w:val="18"/>
                <w:szCs w:val="18"/>
              </w:rPr>
              <w:t>72</w:t>
            </w:r>
            <w:r>
              <w:rPr>
                <w:rFonts w:hint="eastAsia"/>
                <w:sz w:val="18"/>
                <w:szCs w:val="18"/>
              </w:rPr>
              <w:t>小时</w:t>
            </w:r>
            <w:r>
              <w:rPr>
                <w:sz w:val="18"/>
                <w:szCs w:val="18"/>
              </w:rPr>
              <w:t>）</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10</w:t>
            </w:r>
          </w:p>
        </w:tc>
        <w:tc>
          <w:tcPr>
            <w:tcW w:w="4908" w:type="dxa"/>
            <w:gridSpan w:val="2"/>
            <w:vAlign w:val="center"/>
          </w:tcPr>
          <w:p>
            <w:pPr>
              <w:adjustRightInd w:val="0"/>
              <w:jc w:val="center"/>
              <w:rPr>
                <w:sz w:val="18"/>
                <w:szCs w:val="18"/>
              </w:rPr>
            </w:pPr>
            <w:r>
              <w:rPr>
                <w:sz w:val="18"/>
                <w:szCs w:val="18"/>
              </w:rPr>
              <w:t>恒力弹簧试验（10天）</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11</w:t>
            </w:r>
          </w:p>
        </w:tc>
        <w:tc>
          <w:tcPr>
            <w:tcW w:w="4908" w:type="dxa"/>
            <w:gridSpan w:val="2"/>
            <w:vAlign w:val="center"/>
          </w:tcPr>
          <w:p>
            <w:pPr>
              <w:adjustRightInd w:val="0"/>
              <w:jc w:val="center"/>
              <w:rPr>
                <w:sz w:val="18"/>
                <w:szCs w:val="18"/>
              </w:rPr>
            </w:pPr>
            <w:r>
              <w:rPr>
                <w:rFonts w:hint="eastAsia"/>
                <w:sz w:val="18"/>
                <w:szCs w:val="18"/>
              </w:rPr>
              <w:t>防水胶带</w:t>
            </w:r>
            <w:r>
              <w:rPr>
                <w:sz w:val="18"/>
                <w:szCs w:val="18"/>
              </w:rPr>
              <w:t>保气试验</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8" w:type="dxa"/>
            <w:vAlign w:val="center"/>
          </w:tcPr>
          <w:p>
            <w:pPr>
              <w:adjustRightInd w:val="0"/>
              <w:jc w:val="center"/>
              <w:rPr>
                <w:sz w:val="18"/>
                <w:szCs w:val="18"/>
              </w:rPr>
            </w:pPr>
            <w:r>
              <w:rPr>
                <w:sz w:val="18"/>
                <w:szCs w:val="18"/>
              </w:rPr>
              <w:t>12</w:t>
            </w:r>
          </w:p>
        </w:tc>
        <w:tc>
          <w:tcPr>
            <w:tcW w:w="4908" w:type="dxa"/>
            <w:gridSpan w:val="2"/>
            <w:vAlign w:val="center"/>
          </w:tcPr>
          <w:p>
            <w:pPr>
              <w:adjustRightInd w:val="0"/>
              <w:jc w:val="center"/>
              <w:rPr>
                <w:sz w:val="18"/>
                <w:szCs w:val="18"/>
              </w:rPr>
            </w:pPr>
            <w:r>
              <w:rPr>
                <w:sz w:val="18"/>
                <w:szCs w:val="18"/>
              </w:rPr>
              <w:t>绝缘自粘胶带耐压试验</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13</w:t>
            </w:r>
          </w:p>
        </w:tc>
        <w:tc>
          <w:tcPr>
            <w:tcW w:w="4908" w:type="dxa"/>
            <w:gridSpan w:val="2"/>
            <w:vAlign w:val="center"/>
          </w:tcPr>
          <w:p>
            <w:pPr>
              <w:adjustRightInd w:val="0"/>
              <w:jc w:val="center"/>
              <w:rPr>
                <w:sz w:val="18"/>
                <w:szCs w:val="18"/>
              </w:rPr>
            </w:pPr>
            <w:r>
              <w:rPr>
                <w:sz w:val="18"/>
                <w:szCs w:val="18"/>
              </w:rPr>
              <w:t>振荡波局放检测</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91"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11" w:type="dxa"/>
            <w:vAlign w:val="center"/>
          </w:tcPr>
          <w:p>
            <w:pPr>
              <w:adjustRightInd w:val="0"/>
              <w:jc w:val="center"/>
              <w:rPr>
                <w:sz w:val="18"/>
                <w:szCs w:val="18"/>
              </w:rPr>
            </w:pPr>
            <w:r>
              <w:rPr>
                <w:sz w:val="18"/>
                <w:szCs w:val="18"/>
              </w:rPr>
              <w:t>可选</w:t>
            </w:r>
          </w:p>
        </w:tc>
        <w:tc>
          <w:tcPr>
            <w:tcW w:w="1292"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14</w:t>
            </w:r>
          </w:p>
        </w:tc>
        <w:tc>
          <w:tcPr>
            <w:tcW w:w="2536" w:type="dxa"/>
            <w:vMerge w:val="restart"/>
            <w:vAlign w:val="center"/>
          </w:tcPr>
          <w:p>
            <w:pPr>
              <w:adjustRightInd w:val="0"/>
              <w:jc w:val="center"/>
              <w:rPr>
                <w:sz w:val="18"/>
                <w:szCs w:val="18"/>
              </w:rPr>
            </w:pPr>
            <w:r>
              <w:rPr>
                <w:sz w:val="18"/>
                <w:szCs w:val="18"/>
              </w:rPr>
              <w:t>交流耐压</w:t>
            </w:r>
          </w:p>
        </w:tc>
        <w:tc>
          <w:tcPr>
            <w:tcW w:w="2372" w:type="dxa"/>
            <w:vAlign w:val="center"/>
          </w:tcPr>
          <w:p>
            <w:pPr>
              <w:adjustRightInd w:val="0"/>
              <w:jc w:val="center"/>
              <w:rPr>
                <w:sz w:val="18"/>
                <w:szCs w:val="18"/>
              </w:rPr>
            </w:pPr>
            <w:r>
              <w:rPr>
                <w:sz w:val="18"/>
                <w:szCs w:val="18"/>
              </w:rPr>
              <w:t>交流耐压5min（39kV）</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必选（抽样检测）</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15</w:t>
            </w:r>
          </w:p>
        </w:tc>
        <w:tc>
          <w:tcPr>
            <w:tcW w:w="2536" w:type="dxa"/>
            <w:vMerge w:val="continue"/>
            <w:vAlign w:val="center"/>
          </w:tcPr>
          <w:p>
            <w:pPr>
              <w:adjustRightInd w:val="0"/>
              <w:jc w:val="center"/>
              <w:rPr>
                <w:sz w:val="18"/>
                <w:szCs w:val="18"/>
              </w:rPr>
            </w:pPr>
          </w:p>
        </w:tc>
        <w:tc>
          <w:tcPr>
            <w:tcW w:w="2372" w:type="dxa"/>
            <w:vAlign w:val="center"/>
          </w:tcPr>
          <w:p>
            <w:pPr>
              <w:adjustRightInd w:val="0"/>
              <w:jc w:val="center"/>
              <w:rPr>
                <w:sz w:val="18"/>
                <w:szCs w:val="18"/>
              </w:rPr>
            </w:pPr>
            <w:r>
              <w:rPr>
                <w:sz w:val="18"/>
                <w:szCs w:val="18"/>
              </w:rPr>
              <w:t>交流耐压，湿态1min（35kV）</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16</w:t>
            </w:r>
          </w:p>
        </w:tc>
        <w:tc>
          <w:tcPr>
            <w:tcW w:w="4908" w:type="dxa"/>
            <w:gridSpan w:val="2"/>
            <w:vAlign w:val="center"/>
          </w:tcPr>
          <w:p>
            <w:pPr>
              <w:adjustRightInd w:val="0"/>
              <w:jc w:val="center"/>
              <w:rPr>
                <w:sz w:val="18"/>
                <w:szCs w:val="18"/>
              </w:rPr>
            </w:pPr>
            <w:r>
              <w:rPr>
                <w:sz w:val="18"/>
                <w:szCs w:val="18"/>
              </w:rPr>
              <w:t>局部放电（15kV）</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必选（抽样检测）</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17</w:t>
            </w:r>
          </w:p>
        </w:tc>
        <w:tc>
          <w:tcPr>
            <w:tcW w:w="4908" w:type="dxa"/>
            <w:gridSpan w:val="2"/>
            <w:vAlign w:val="center"/>
          </w:tcPr>
          <w:p>
            <w:pPr>
              <w:widowControl/>
              <w:jc w:val="center"/>
              <w:rPr>
                <w:sz w:val="18"/>
                <w:szCs w:val="18"/>
              </w:rPr>
            </w:pPr>
            <w:r>
              <w:rPr>
                <w:sz w:val="18"/>
                <w:szCs w:val="18"/>
              </w:rPr>
              <w:t>冲击电压试验，在</w:t>
            </w:r>
            <w:r>
              <w:rPr>
                <w:sz w:val="18"/>
                <w:szCs w:val="18"/>
              </w:rPr>
              <w:pict>
                <v:shape id="_x0000_i1028" o:spt="75" type="#_x0000_t75" style="height:20.4pt;width:15pt;" filled="f" o:preferrelative="t" stroked="f" coordsize="21600,21600">
                  <v:path/>
                  <v:fill on="f" focussize="0,0"/>
                  <v:stroke on="f" joinstyle="miter"/>
                  <v:imagedata r:id="rId21" o:title=""/>
                  <o:lock v:ext="edit" aspectratio="t"/>
                  <w10:wrap type="none"/>
                  <w10:anchorlock/>
                </v:shape>
              </w:pict>
            </w:r>
            <w:r>
              <w:rPr>
                <w:sz w:val="18"/>
                <w:szCs w:val="18"/>
              </w:rPr>
              <w:t>下正负极性各10次</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18</w:t>
            </w:r>
          </w:p>
        </w:tc>
        <w:tc>
          <w:tcPr>
            <w:tcW w:w="2536" w:type="dxa"/>
            <w:vMerge w:val="restart"/>
            <w:vAlign w:val="center"/>
          </w:tcPr>
          <w:p>
            <w:pPr>
              <w:widowControl/>
              <w:jc w:val="center"/>
              <w:rPr>
                <w:sz w:val="18"/>
                <w:szCs w:val="18"/>
              </w:rPr>
            </w:pPr>
            <w:r>
              <w:rPr>
                <w:sz w:val="18"/>
                <w:szCs w:val="18"/>
              </w:rPr>
              <w:t>恒压负荷热循环试验，在</w:t>
            </w:r>
            <w:r>
              <w:rPr>
                <w:sz w:val="18"/>
                <w:szCs w:val="18"/>
              </w:rPr>
              <w:pict>
                <v:shape id="_x0000_i1029" o:spt="75" type="#_x0000_t75" style="height:20.4pt;width:15pt;" filled="f" o:preferrelative="t" stroked="f" coordsize="21600,21600">
                  <v:path/>
                  <v:fill on="f" focussize="0,0"/>
                  <v:stroke on="f" joinstyle="miter"/>
                  <v:imagedata r:id="rId22" o:title=""/>
                  <o:lock v:ext="edit" aspectratio="t"/>
                  <w10:wrap type="none"/>
                  <w10:anchorlock/>
                </v:shape>
              </w:pict>
            </w:r>
            <w:r>
              <w:rPr>
                <w:sz w:val="18"/>
                <w:szCs w:val="18"/>
              </w:rPr>
              <w:t>下</w:t>
            </w:r>
          </w:p>
        </w:tc>
        <w:tc>
          <w:tcPr>
            <w:tcW w:w="2372" w:type="dxa"/>
            <w:vAlign w:val="center"/>
          </w:tcPr>
          <w:p>
            <w:pPr>
              <w:adjustRightInd w:val="0"/>
              <w:jc w:val="center"/>
              <w:rPr>
                <w:sz w:val="18"/>
                <w:szCs w:val="18"/>
              </w:rPr>
            </w:pPr>
            <w:r>
              <w:rPr>
                <w:sz w:val="18"/>
                <w:szCs w:val="18"/>
              </w:rPr>
              <w:t>在空气中，循环50次</w:t>
            </w:r>
            <w:r>
              <w:rPr>
                <w:sz w:val="18"/>
                <w:szCs w:val="18"/>
              </w:rPr>
              <w:pict>
                <v:shape id="_x0000_i1030" o:spt="75" type="#_x0000_t75" style="height:16.2pt;width:5.4pt;" filled="f" o:preferrelative="t" stroked="f" coordsize="21600,21600">
                  <v:path/>
                  <v:fill on="f" focussize="0,0"/>
                  <v:stroke on="f" joinstyle="miter"/>
                  <v:imagedata r:id="rId23"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19</w:t>
            </w:r>
          </w:p>
        </w:tc>
        <w:tc>
          <w:tcPr>
            <w:tcW w:w="2536" w:type="dxa"/>
            <w:vMerge w:val="continue"/>
            <w:vAlign w:val="center"/>
          </w:tcPr>
          <w:p>
            <w:pPr>
              <w:widowControl/>
              <w:jc w:val="center"/>
              <w:rPr>
                <w:sz w:val="18"/>
                <w:szCs w:val="18"/>
              </w:rPr>
            </w:pPr>
          </w:p>
        </w:tc>
        <w:tc>
          <w:tcPr>
            <w:tcW w:w="2372" w:type="dxa"/>
            <w:vAlign w:val="center"/>
          </w:tcPr>
          <w:p>
            <w:pPr>
              <w:adjustRightInd w:val="0"/>
              <w:jc w:val="center"/>
              <w:rPr>
                <w:sz w:val="18"/>
                <w:szCs w:val="18"/>
              </w:rPr>
            </w:pPr>
            <w:r>
              <w:rPr>
                <w:sz w:val="18"/>
                <w:szCs w:val="18"/>
              </w:rPr>
              <w:t>在水中，循环10次</w:t>
            </w:r>
            <w:r>
              <w:rPr>
                <w:sz w:val="18"/>
                <w:szCs w:val="18"/>
              </w:rPr>
              <w:pict>
                <v:shape id="_x0000_i1031" o:spt="75" type="#_x0000_t75" style="height:16.2pt;width:5.4pt;" filled="f" o:preferrelative="t" stroked="f" coordsize="21600,21600">
                  <v:path/>
                  <v:fill on="f" focussize="0,0"/>
                  <v:stroke on="f" joinstyle="miter"/>
                  <v:imagedata r:id="rId24"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20</w:t>
            </w:r>
          </w:p>
        </w:tc>
        <w:tc>
          <w:tcPr>
            <w:tcW w:w="2536" w:type="dxa"/>
            <w:vMerge w:val="continue"/>
            <w:vAlign w:val="center"/>
          </w:tcPr>
          <w:p>
            <w:pPr>
              <w:widowControl/>
              <w:jc w:val="center"/>
              <w:rPr>
                <w:sz w:val="18"/>
                <w:szCs w:val="18"/>
              </w:rPr>
            </w:pPr>
          </w:p>
        </w:tc>
        <w:tc>
          <w:tcPr>
            <w:tcW w:w="2372" w:type="dxa"/>
            <w:vAlign w:val="center"/>
          </w:tcPr>
          <w:p>
            <w:pPr>
              <w:adjustRightInd w:val="0"/>
              <w:jc w:val="center"/>
              <w:rPr>
                <w:sz w:val="18"/>
                <w:szCs w:val="18"/>
              </w:rPr>
            </w:pPr>
            <w:r>
              <w:rPr>
                <w:sz w:val="18"/>
                <w:szCs w:val="18"/>
              </w:rPr>
              <w:t>在空气中，循环60次</w:t>
            </w:r>
            <w:r>
              <w:rPr>
                <w:sz w:val="18"/>
                <w:szCs w:val="18"/>
              </w:rPr>
              <w:pict>
                <v:shape id="_x0000_i1032" o:spt="75" type="#_x0000_t75" style="height:16.2pt;width:5.4pt;" filled="f" o:preferrelative="t" stroked="f" coordsize="21600,21600">
                  <v:path/>
                  <v:fill on="f" focussize="0,0"/>
                  <v:stroke on="f" joinstyle="miter"/>
                  <v:imagedata r:id="rId25"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21</w:t>
            </w:r>
          </w:p>
        </w:tc>
        <w:tc>
          <w:tcPr>
            <w:tcW w:w="2536" w:type="dxa"/>
            <w:vMerge w:val="continue"/>
            <w:vAlign w:val="center"/>
          </w:tcPr>
          <w:p>
            <w:pPr>
              <w:widowControl/>
              <w:jc w:val="center"/>
              <w:rPr>
                <w:sz w:val="18"/>
                <w:szCs w:val="18"/>
              </w:rPr>
            </w:pPr>
          </w:p>
        </w:tc>
        <w:tc>
          <w:tcPr>
            <w:tcW w:w="2372" w:type="dxa"/>
            <w:vAlign w:val="center"/>
          </w:tcPr>
          <w:p>
            <w:pPr>
              <w:adjustRightInd w:val="0"/>
              <w:jc w:val="center"/>
              <w:rPr>
                <w:sz w:val="18"/>
                <w:szCs w:val="18"/>
              </w:rPr>
            </w:pPr>
            <w:r>
              <w:rPr>
                <w:sz w:val="18"/>
                <w:szCs w:val="18"/>
              </w:rPr>
              <w:t>在空气中，循环3次</w:t>
            </w:r>
            <w:r>
              <w:rPr>
                <w:sz w:val="18"/>
                <w:szCs w:val="18"/>
              </w:rPr>
              <w:pict>
                <v:shape id="_x0000_i1033" o:spt="75" type="#_x0000_t75" style="height:16.2pt;width:5.4pt;" filled="f" o:preferrelative="t" stroked="f" coordsize="21600,21600">
                  <v:path/>
                  <v:fill on="f" focussize="0,0"/>
                  <v:stroke on="f" joinstyle="miter"/>
                  <v:imagedata r:id="rId25" o:title=""/>
                  <o:lock v:ext="edit" aspectratio="t"/>
                  <w10:wrap type="none"/>
                  <w10:anchorlock/>
                </v:shape>
              </w:pic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必选（一批次检测一套）</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22</w:t>
            </w:r>
          </w:p>
        </w:tc>
        <w:tc>
          <w:tcPr>
            <w:tcW w:w="4908" w:type="dxa"/>
            <w:gridSpan w:val="2"/>
            <w:vAlign w:val="center"/>
          </w:tcPr>
          <w:p>
            <w:pPr>
              <w:adjustRightInd w:val="0"/>
              <w:jc w:val="center"/>
              <w:rPr>
                <w:sz w:val="18"/>
                <w:szCs w:val="18"/>
              </w:rPr>
            </w:pPr>
            <w:r>
              <w:rPr>
                <w:sz w:val="18"/>
                <w:szCs w:val="18"/>
              </w:rPr>
              <w:t>局部放电(15kV)，在</w:t>
            </w:r>
            <w:r>
              <w:rPr>
                <w:sz w:val="18"/>
                <w:szCs w:val="18"/>
              </w:rPr>
              <w:pict>
                <v:shape id="_x0000_i1034" o:spt="75" type="#_x0000_t75" style="height:20.4pt;width:20.4pt;" filled="f" o:preferrelative="t" stroked="f" coordsize="21600,21600">
                  <v:path/>
                  <v:fill on="f" focussize="0,0"/>
                  <v:stroke on="f" joinstyle="miter"/>
                  <v:imagedata r:id="rId26" o:title=""/>
                  <o:lock v:ext="edit" aspectratio="t"/>
                  <w10:wrap type="none"/>
                  <w10:anchorlock/>
                </v:shape>
              </w:pict>
            </w:r>
            <w:r>
              <w:rPr>
                <w:sz w:val="18"/>
                <w:szCs w:val="18"/>
              </w:rPr>
              <w:t>和环境温度下</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23</w:t>
            </w:r>
          </w:p>
        </w:tc>
        <w:tc>
          <w:tcPr>
            <w:tcW w:w="4908" w:type="dxa"/>
            <w:gridSpan w:val="2"/>
            <w:vAlign w:val="center"/>
          </w:tcPr>
          <w:p>
            <w:pPr>
              <w:adjustRightInd w:val="0"/>
              <w:jc w:val="center"/>
              <w:rPr>
                <w:sz w:val="18"/>
                <w:szCs w:val="18"/>
              </w:rPr>
            </w:pPr>
            <w:r>
              <w:rPr>
                <w:sz w:val="18"/>
                <w:szCs w:val="18"/>
              </w:rPr>
              <w:t>局部放电(15kV)</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24</w:t>
            </w:r>
          </w:p>
        </w:tc>
        <w:tc>
          <w:tcPr>
            <w:tcW w:w="4908" w:type="dxa"/>
            <w:gridSpan w:val="2"/>
            <w:vAlign w:val="center"/>
          </w:tcPr>
          <w:p>
            <w:pPr>
              <w:adjustRightInd w:val="0"/>
              <w:jc w:val="center"/>
              <w:rPr>
                <w:sz w:val="18"/>
                <w:szCs w:val="18"/>
              </w:rPr>
            </w:pPr>
            <w:r>
              <w:rPr>
                <w:sz w:val="18"/>
                <w:szCs w:val="18"/>
              </w:rPr>
              <w:t>短路热稳定（屏蔽）</w:t>
            </w:r>
            <w:r>
              <w:rPr>
                <w:sz w:val="18"/>
                <w:szCs w:val="18"/>
              </w:rPr>
              <w:pict>
                <v:shape id="_x0000_i1035" o:spt="75" type="#_x0000_t75" style="height:16.2pt;width:5.4pt;" filled="f" o:preferrelative="t" stroked="f" coordsize="21600,21600">
                  <v:path/>
                  <v:fill on="f" focussize="0,0"/>
                  <v:stroke on="f" joinstyle="miter"/>
                  <v:imagedata r:id="rId27"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25</w:t>
            </w:r>
          </w:p>
        </w:tc>
        <w:tc>
          <w:tcPr>
            <w:tcW w:w="4908" w:type="dxa"/>
            <w:gridSpan w:val="2"/>
            <w:vAlign w:val="center"/>
          </w:tcPr>
          <w:p>
            <w:pPr>
              <w:adjustRightInd w:val="0"/>
              <w:jc w:val="center"/>
              <w:rPr>
                <w:sz w:val="18"/>
                <w:szCs w:val="18"/>
              </w:rPr>
            </w:pPr>
            <w:r>
              <w:rPr>
                <w:sz w:val="18"/>
                <w:szCs w:val="18"/>
              </w:rPr>
              <w:t>短路热稳定（导体）</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26</w:t>
            </w:r>
          </w:p>
        </w:tc>
        <w:tc>
          <w:tcPr>
            <w:tcW w:w="4908" w:type="dxa"/>
            <w:gridSpan w:val="2"/>
            <w:vAlign w:val="center"/>
          </w:tcPr>
          <w:p>
            <w:pPr>
              <w:adjustRightInd w:val="0"/>
              <w:jc w:val="center"/>
              <w:rPr>
                <w:sz w:val="18"/>
                <w:szCs w:val="18"/>
              </w:rPr>
            </w:pPr>
            <w:r>
              <w:rPr>
                <w:sz w:val="18"/>
                <w:szCs w:val="18"/>
              </w:rPr>
              <w:t>短路动稳定</w:t>
            </w:r>
            <w:r>
              <w:rPr>
                <w:sz w:val="18"/>
                <w:szCs w:val="18"/>
              </w:rPr>
              <w:pict>
                <v:shape id="_x0000_i1036" o:spt="75" type="#_x0000_t75" style="height:16.2pt;width:9.6pt;" filled="f" o:preferrelative="t" stroked="f" coordsize="21600,21600">
                  <v:path/>
                  <v:fill on="f" focussize="0,0"/>
                  <v:stroke on="f" joinstyle="miter"/>
                  <v:imagedata r:id="rId28"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27</w:t>
            </w:r>
          </w:p>
        </w:tc>
        <w:tc>
          <w:tcPr>
            <w:tcW w:w="4908" w:type="dxa"/>
            <w:gridSpan w:val="2"/>
            <w:vAlign w:val="center"/>
          </w:tcPr>
          <w:p>
            <w:pPr>
              <w:adjustRightInd w:val="0"/>
              <w:jc w:val="center"/>
              <w:rPr>
                <w:sz w:val="18"/>
                <w:szCs w:val="18"/>
              </w:rPr>
            </w:pPr>
            <w:r>
              <w:rPr>
                <w:sz w:val="18"/>
                <w:szCs w:val="18"/>
              </w:rPr>
              <w:t>冲击电压试验，正负极性各10次</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28</w:t>
            </w:r>
          </w:p>
        </w:tc>
        <w:tc>
          <w:tcPr>
            <w:tcW w:w="4908" w:type="dxa"/>
            <w:gridSpan w:val="2"/>
            <w:vAlign w:val="center"/>
          </w:tcPr>
          <w:p>
            <w:pPr>
              <w:adjustRightInd w:val="0"/>
              <w:jc w:val="center"/>
              <w:rPr>
                <w:sz w:val="18"/>
                <w:szCs w:val="18"/>
              </w:rPr>
            </w:pPr>
            <w:r>
              <w:rPr>
                <w:sz w:val="18"/>
                <w:szCs w:val="18"/>
              </w:rPr>
              <w:t>交流耐压15min（22kV）</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29</w:t>
            </w:r>
          </w:p>
        </w:tc>
        <w:tc>
          <w:tcPr>
            <w:tcW w:w="4908" w:type="dxa"/>
            <w:gridSpan w:val="2"/>
            <w:vAlign w:val="center"/>
          </w:tcPr>
          <w:p>
            <w:pPr>
              <w:adjustRightInd w:val="0"/>
              <w:jc w:val="center"/>
              <w:rPr>
                <w:sz w:val="18"/>
                <w:szCs w:val="18"/>
              </w:rPr>
            </w:pPr>
            <w:r>
              <w:rPr>
                <w:sz w:val="18"/>
                <w:szCs w:val="18"/>
              </w:rPr>
              <w:t>潮湿试验300h</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30</w:t>
            </w:r>
          </w:p>
        </w:tc>
        <w:tc>
          <w:tcPr>
            <w:tcW w:w="4908" w:type="dxa"/>
            <w:gridSpan w:val="2"/>
            <w:vAlign w:val="center"/>
          </w:tcPr>
          <w:p>
            <w:pPr>
              <w:adjustRightInd w:val="0"/>
              <w:jc w:val="center"/>
              <w:rPr>
                <w:sz w:val="18"/>
                <w:szCs w:val="18"/>
              </w:rPr>
            </w:pPr>
            <w:r>
              <w:rPr>
                <w:sz w:val="18"/>
                <w:szCs w:val="18"/>
              </w:rPr>
              <w:t>盐雾试验1000h</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31</w:t>
            </w:r>
          </w:p>
        </w:tc>
        <w:tc>
          <w:tcPr>
            <w:tcW w:w="4908" w:type="dxa"/>
            <w:gridSpan w:val="2"/>
            <w:vAlign w:val="center"/>
          </w:tcPr>
          <w:p>
            <w:pPr>
              <w:adjustRightInd w:val="0"/>
              <w:jc w:val="center"/>
              <w:rPr>
                <w:sz w:val="18"/>
                <w:szCs w:val="18"/>
              </w:rPr>
            </w:pPr>
            <w:r>
              <w:rPr>
                <w:sz w:val="18"/>
                <w:szCs w:val="18"/>
              </w:rPr>
              <w:t>交流耐压4h（35kV）</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2"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8" w:type="dxa"/>
            <w:vAlign w:val="center"/>
          </w:tcPr>
          <w:p>
            <w:pPr>
              <w:adjustRightInd w:val="0"/>
              <w:jc w:val="center"/>
              <w:rPr>
                <w:sz w:val="18"/>
                <w:szCs w:val="18"/>
              </w:rPr>
            </w:pPr>
            <w:r>
              <w:rPr>
                <w:sz w:val="18"/>
                <w:szCs w:val="18"/>
              </w:rPr>
              <w:t>32</w:t>
            </w:r>
          </w:p>
        </w:tc>
        <w:tc>
          <w:tcPr>
            <w:tcW w:w="4908" w:type="dxa"/>
            <w:gridSpan w:val="2"/>
            <w:vAlign w:val="center"/>
          </w:tcPr>
          <w:p>
            <w:pPr>
              <w:adjustRightInd w:val="0"/>
              <w:jc w:val="center"/>
              <w:rPr>
                <w:sz w:val="18"/>
                <w:szCs w:val="18"/>
              </w:rPr>
            </w:pPr>
            <w:r>
              <w:rPr>
                <w:sz w:val="18"/>
                <w:szCs w:val="18"/>
              </w:rPr>
              <w:t>交流耐压：2.5</w:t>
            </w:r>
            <w:r>
              <w:rPr>
                <w:sz w:val="18"/>
                <w:szCs w:val="18"/>
              </w:rPr>
              <w:pict>
                <v:shape id="_x0000_i1037" o:spt="75" type="#_x0000_t75" style="height:20.4pt;width:16.2pt;" filled="f" o:preferrelative="t" stroked="f" coordsize="21600,21600">
                  <v:path/>
                  <v:fill on="f" focussize="0,0"/>
                  <v:stroke on="f" joinstyle="miter"/>
                  <v:imagedata r:id="rId29" o:title=""/>
                  <o:lock v:ext="edit" aspectratio="t"/>
                  <w10:wrap type="none"/>
                  <w10:anchorlock/>
                </v:shape>
              </w:pict>
            </w:r>
            <w:r>
              <w:rPr>
                <w:sz w:val="18"/>
                <w:szCs w:val="18"/>
              </w:rPr>
              <w:t>（5min）,或2</w:t>
            </w:r>
            <w:r>
              <w:rPr>
                <w:sz w:val="18"/>
                <w:szCs w:val="18"/>
              </w:rPr>
              <w:pict>
                <v:shape id="_x0000_i1038" o:spt="75" type="#_x0000_t75" style="height:20.4pt;width:16.2pt;" filled="f" o:preferrelative="t" stroked="f" coordsize="21600,21600">
                  <v:path/>
                  <v:fill on="f" focussize="0,0"/>
                  <v:stroke on="f" joinstyle="miter"/>
                  <v:imagedata r:id="rId29" o:title=""/>
                  <o:lock v:ext="edit" aspectratio="t"/>
                  <w10:wrap type="none"/>
                  <w10:anchorlock/>
                </v:shape>
              </w:pict>
            </w:r>
            <w:r>
              <w:rPr>
                <w:sz w:val="18"/>
                <w:szCs w:val="18"/>
              </w:rPr>
              <w:t>(60min)</w:t>
            </w:r>
          </w:p>
        </w:tc>
        <w:tc>
          <w:tcPr>
            <w:tcW w:w="1136" w:type="dxa"/>
            <w:vAlign w:val="center"/>
          </w:tcPr>
          <w:p>
            <w:pPr>
              <w:widowControl/>
              <w:jc w:val="center"/>
              <w:rPr>
                <w:sz w:val="18"/>
                <w:szCs w:val="18"/>
              </w:rPr>
            </w:pPr>
            <w:r>
              <w:rPr>
                <w:sz w:val="18"/>
                <w:szCs w:val="18"/>
              </w:rPr>
              <w:t>——</w:t>
            </w:r>
          </w:p>
        </w:tc>
        <w:tc>
          <w:tcPr>
            <w:tcW w:w="1275" w:type="dxa"/>
            <w:vAlign w:val="center"/>
          </w:tcPr>
          <w:p>
            <w:pPr>
              <w:widowControl/>
              <w:jc w:val="center"/>
              <w:rPr>
                <w:sz w:val="18"/>
                <w:szCs w:val="18"/>
              </w:rPr>
            </w:pPr>
            <w:r>
              <w:rPr>
                <w:sz w:val="18"/>
                <w:szCs w:val="18"/>
              </w:rPr>
              <w:t>——</w:t>
            </w:r>
          </w:p>
        </w:tc>
        <w:tc>
          <w:tcPr>
            <w:tcW w:w="1133" w:type="dxa"/>
            <w:vAlign w:val="center"/>
          </w:tcPr>
          <w:p>
            <w:pPr>
              <w:widowControl/>
              <w:jc w:val="center"/>
              <w:rPr>
                <w:sz w:val="18"/>
                <w:szCs w:val="18"/>
              </w:rPr>
            </w:pPr>
            <w:r>
              <w:rPr>
                <w:sz w:val="18"/>
                <w:szCs w:val="18"/>
              </w:rPr>
              <w:t>——</w:t>
            </w:r>
          </w:p>
        </w:tc>
        <w:tc>
          <w:tcPr>
            <w:tcW w:w="1136" w:type="dxa"/>
            <w:vAlign w:val="center"/>
          </w:tcPr>
          <w:p>
            <w:pPr>
              <w:widowControl/>
              <w:jc w:val="center"/>
              <w:rPr>
                <w:sz w:val="18"/>
                <w:szCs w:val="18"/>
              </w:rPr>
            </w:pPr>
            <w:r>
              <w:rPr>
                <w:sz w:val="18"/>
                <w:szCs w:val="18"/>
              </w:rPr>
              <w:t>——</w:t>
            </w:r>
          </w:p>
        </w:tc>
        <w:tc>
          <w:tcPr>
            <w:tcW w:w="991" w:type="dxa"/>
            <w:vAlign w:val="center"/>
          </w:tcPr>
          <w:p>
            <w:pPr>
              <w:widowControl/>
              <w:jc w:val="center"/>
              <w:rPr>
                <w:sz w:val="18"/>
                <w:szCs w:val="18"/>
              </w:rPr>
            </w:pPr>
            <w:r>
              <w:rPr>
                <w:sz w:val="18"/>
                <w:szCs w:val="18"/>
              </w:rPr>
              <w:t>——</w:t>
            </w:r>
          </w:p>
        </w:tc>
        <w:tc>
          <w:tcPr>
            <w:tcW w:w="1136" w:type="dxa"/>
            <w:vAlign w:val="center"/>
          </w:tcPr>
          <w:p>
            <w:pPr>
              <w:widowControl/>
              <w:jc w:val="center"/>
              <w:rPr>
                <w:sz w:val="18"/>
                <w:szCs w:val="18"/>
              </w:rPr>
            </w:pPr>
            <w:r>
              <w:rPr>
                <w:sz w:val="18"/>
                <w:szCs w:val="18"/>
              </w:rPr>
              <w:t>——</w:t>
            </w:r>
          </w:p>
        </w:tc>
        <w:tc>
          <w:tcPr>
            <w:tcW w:w="911" w:type="dxa"/>
            <w:vAlign w:val="center"/>
          </w:tcPr>
          <w:p>
            <w:pPr>
              <w:widowControl/>
              <w:jc w:val="center"/>
              <w:rPr>
                <w:sz w:val="18"/>
                <w:szCs w:val="18"/>
              </w:rPr>
            </w:pPr>
            <w:r>
              <w:rPr>
                <w:sz w:val="18"/>
                <w:szCs w:val="18"/>
              </w:rPr>
              <w:t>必选</w:t>
            </w:r>
          </w:p>
        </w:tc>
        <w:tc>
          <w:tcPr>
            <w:tcW w:w="1292" w:type="dxa"/>
            <w:vAlign w:val="center"/>
          </w:tcPr>
          <w:p>
            <w:pPr>
              <w:widowControl/>
              <w:jc w:val="center"/>
              <w:rPr>
                <w:sz w:val="18"/>
                <w:szCs w:val="18"/>
              </w:rPr>
            </w:pPr>
            <w:r>
              <w:rPr>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786" w:type="dxa"/>
            <w:gridSpan w:val="11"/>
            <w:vAlign w:val="center"/>
          </w:tcPr>
          <w:p>
            <w:pPr>
              <w:widowControl/>
              <w:jc w:val="left"/>
              <w:rPr>
                <w:sz w:val="18"/>
                <w:szCs w:val="18"/>
              </w:rPr>
            </w:pPr>
            <w:r>
              <w:rPr>
                <w:sz w:val="18"/>
                <w:szCs w:val="18"/>
              </w:rPr>
              <w:t>备注：</w:t>
            </w:r>
          </w:p>
          <w:p>
            <w:pPr>
              <w:widowControl/>
              <w:jc w:val="left"/>
              <w:rPr>
                <w:sz w:val="18"/>
                <w:szCs w:val="18"/>
              </w:rPr>
            </w:pPr>
            <w:r>
              <w:rPr>
                <w:sz w:val="18"/>
                <w:szCs w:val="18"/>
              </w:rPr>
              <w:pict>
                <v:shape id="_x0000_i1039" o:spt="75" type="#_x0000_t75" style="height:16.2pt;width:8.4pt;" filled="f" o:preferrelative="t" stroked="f" coordsize="21600,21600">
                  <v:path/>
                  <v:fill on="f" focussize="0,0"/>
                  <v:stroke on="f" joinstyle="miter"/>
                  <v:imagedata r:id="rId20" o:title=""/>
                  <o:lock v:ext="edit" aspectratio="t"/>
                  <w10:wrap type="none"/>
                  <w10:anchorlock/>
                </v:shape>
              </w:pict>
            </w:r>
            <w:r>
              <w:rPr>
                <w:sz w:val="18"/>
                <w:szCs w:val="18"/>
              </w:rPr>
              <w:t>除非另有规定，试验应在环境温度下进行</w:t>
            </w:r>
          </w:p>
          <w:p>
            <w:pPr>
              <w:widowControl/>
              <w:jc w:val="left"/>
              <w:rPr>
                <w:sz w:val="18"/>
                <w:szCs w:val="18"/>
              </w:rPr>
            </w:pPr>
            <w:r>
              <w:rPr>
                <w:color w:val="000000"/>
                <w:kern w:val="0"/>
                <w:sz w:val="22"/>
                <w:szCs w:val="22"/>
              </w:rPr>
              <w:pict>
                <v:shape id="_x0000_i1040" o:spt="75" type="#_x0000_t75" style="height:16.2pt;width:8.4pt;" filled="f" o:preferrelative="t" stroked="f" coordsize="21600,21600">
                  <v:path/>
                  <v:fill on="f" focussize="0,0"/>
                  <v:stroke on="f" joinstyle="miter"/>
                  <v:imagedata r:id="rId30" o:title=""/>
                  <o:lock v:ext="edit" aspectratio="t"/>
                  <w10:wrap type="none"/>
                  <w10:anchorlock/>
                </v:shape>
              </w:pict>
            </w:r>
            <w:r>
              <w:rPr>
                <w:sz w:val="18"/>
                <w:szCs w:val="18"/>
              </w:rPr>
              <w:pict>
                <v:shape id="_x0000_i1041" o:spt="75" type="#_x0000_t75" style="height:20.4pt;width:13.8pt;" filled="f" o:preferrelative="t" stroked="f" coordsize="21600,21600">
                  <v:path/>
                  <v:fill on="f" focussize="0,0"/>
                  <v:stroke on="f" joinstyle="miter"/>
                  <v:imagedata r:id="rId31" o:title=""/>
                  <o:lock v:ext="edit" aspectratio="t"/>
                  <w10:wrap type="none"/>
                  <w10:anchorlock/>
                </v:shape>
              </w:pict>
            </w:r>
            <w:r>
              <w:rPr>
                <w:sz w:val="18"/>
                <w:szCs w:val="18"/>
              </w:rPr>
              <w:t>温度为电缆正常运行时最高导体温度以上（5-10）</w:t>
            </w:r>
            <w:r>
              <w:rPr>
                <w:rFonts w:hint="eastAsia"/>
                <w:sz w:val="18"/>
                <w:szCs w:val="18"/>
              </w:rPr>
              <w:t>℃</w:t>
            </w:r>
          </w:p>
          <w:p>
            <w:pPr>
              <w:widowControl/>
              <w:jc w:val="left"/>
              <w:rPr>
                <w:sz w:val="18"/>
                <w:szCs w:val="18"/>
              </w:rPr>
            </w:pPr>
            <w:r>
              <w:rPr>
                <w:sz w:val="18"/>
                <w:szCs w:val="18"/>
              </w:rPr>
              <w:pict>
                <v:shape id="_x0000_i1042" o:spt="75" type="#_x0000_t75" style="height:16.2pt;width:5.4pt;" filled="f" o:preferrelative="t" stroked="f" coordsize="21600,21600">
                  <v:path/>
                  <v:fill on="f" focussize="0,0"/>
                  <v:stroke on="f" joinstyle="miter"/>
                  <v:imagedata r:id="rId32" o:title=""/>
                  <o:lock v:ext="edit" aspectratio="t"/>
                  <w10:wrap type="none"/>
                  <w10:anchorlock/>
                </v:shape>
              </w:pict>
            </w:r>
            <w:r>
              <w:rPr>
                <w:sz w:val="18"/>
                <w:szCs w:val="18"/>
              </w:rPr>
              <w:t>每个负荷循环周期为8h，电缆导体稳定在规定的</w:t>
            </w:r>
            <w:r>
              <w:rPr>
                <w:sz w:val="18"/>
                <w:szCs w:val="18"/>
              </w:rPr>
              <w:pict>
                <v:shape id="_x0000_i1043" o:spt="75" type="#_x0000_t75" style="height:20.4pt;width:13.8pt;" filled="f" o:preferrelative="t" stroked="f" coordsize="21600,21600">
                  <v:path/>
                  <v:fill on="f" focussize="0,0"/>
                  <v:stroke on="f" joinstyle="miter"/>
                  <v:imagedata r:id="rId31" o:title=""/>
                  <o:lock v:ext="edit" aspectratio="t"/>
                  <w10:wrap type="none"/>
                  <w10:anchorlock/>
                </v:shape>
              </w:pict>
            </w:r>
            <w:r>
              <w:rPr>
                <w:sz w:val="18"/>
                <w:szCs w:val="18"/>
              </w:rPr>
              <w:t>温度下至少2h，冷却时间至少3h</w:t>
            </w:r>
          </w:p>
          <w:p>
            <w:pPr>
              <w:widowControl/>
              <w:jc w:val="left"/>
              <w:rPr>
                <w:sz w:val="18"/>
                <w:szCs w:val="18"/>
              </w:rPr>
            </w:pPr>
            <w:r>
              <w:rPr>
                <w:sz w:val="18"/>
                <w:szCs w:val="18"/>
              </w:rPr>
              <w:pict>
                <v:shape id="_x0000_i1044" o:spt="75" type="#_x0000_t75" style="height:16.2pt;width:8.4pt;" filled="f" o:preferrelative="t" stroked="f" coordsize="21600,21600">
                  <v:path/>
                  <v:fill on="f" focussize="0,0"/>
                  <v:stroke on="f" joinstyle="miter"/>
                  <v:imagedata r:id="rId33" o:title=""/>
                  <o:lock v:ext="edit" aspectratio="t"/>
                  <w10:wrap type="none"/>
                  <w10:anchorlock/>
                </v:shape>
              </w:pict>
            </w:r>
            <w:r>
              <w:rPr>
                <w:sz w:val="18"/>
                <w:szCs w:val="18"/>
              </w:rPr>
              <w:t>在加热期结束时进行</w:t>
            </w:r>
          </w:p>
          <w:p>
            <w:pPr>
              <w:widowControl/>
              <w:jc w:val="left"/>
              <w:rPr>
                <w:sz w:val="18"/>
                <w:szCs w:val="18"/>
              </w:rPr>
            </w:pPr>
            <w:r>
              <w:rPr>
                <w:sz w:val="18"/>
                <w:szCs w:val="18"/>
              </w:rPr>
              <w:pict>
                <v:shape id="_x0000_i1045" o:spt="75" type="#_x0000_t75" style="height:16.2pt;width:5.4pt;" filled="f" o:preferrelative="t" stroked="f" coordsize="21600,21600">
                  <v:path/>
                  <v:fill on="f" focussize="0,0"/>
                  <v:stroke on="f" joinstyle="miter"/>
                  <v:imagedata r:id="rId34" o:title=""/>
                  <o:lock v:ext="edit" aspectratio="t"/>
                  <w10:wrap type="none"/>
                  <w10:anchorlock/>
                </v:shape>
              </w:pict>
            </w:r>
            <w:r>
              <w:rPr>
                <w:sz w:val="18"/>
                <w:szCs w:val="18"/>
              </w:rPr>
              <w:t>仅适用于能直接或通过适配件与电缆金属屏蔽相连接的终端</w:t>
            </w:r>
          </w:p>
          <w:p>
            <w:pPr>
              <w:widowControl/>
              <w:jc w:val="left"/>
              <w:rPr>
                <w:sz w:val="18"/>
                <w:szCs w:val="18"/>
              </w:rPr>
            </w:pPr>
            <w:r>
              <w:rPr>
                <w:sz w:val="18"/>
                <w:szCs w:val="18"/>
              </w:rPr>
              <w:pict>
                <v:shape id="_x0000_i1046" o:spt="75" type="#_x0000_t75" style="height:16.2pt;width:9.6pt;" filled="f" o:preferrelative="t" stroked="f" coordsize="21600,21600">
                  <v:path/>
                  <v:fill on="f" focussize="0,0"/>
                  <v:stroke on="f" joinstyle="miter"/>
                  <v:imagedata r:id="rId35" o:title=""/>
                  <o:lock v:ext="edit" aspectratio="t"/>
                  <w10:wrap type="none"/>
                  <w10:anchorlock/>
                </v:shape>
              </w:pict>
            </w:r>
            <w:r>
              <w:rPr>
                <w:sz w:val="18"/>
                <w:szCs w:val="18"/>
              </w:rPr>
              <w:t>短路热稳定试验可以与短路动稳定试验结合进行</w:t>
            </w:r>
          </w:p>
          <w:p>
            <w:pPr>
              <w:widowControl/>
              <w:jc w:val="left"/>
              <w:rPr>
                <w:color w:val="000000"/>
                <w:kern w:val="0"/>
                <w:sz w:val="22"/>
                <w:szCs w:val="22"/>
              </w:rPr>
            </w:pPr>
            <w:r>
              <w:rPr>
                <w:sz w:val="18"/>
                <w:szCs w:val="18"/>
              </w:rPr>
              <w:pict>
                <v:shape id="_x0000_i1047" o:spt="75" type="#_x0000_t75" style="height:16.2pt;width:9.6pt;" filled="f" o:preferrelative="t" stroked="f" coordsize="21600,21600">
                  <v:path/>
                  <v:fill on="f" focussize="0,0"/>
                  <v:stroke on="f" joinstyle="miter"/>
                  <v:imagedata r:id="rId36" o:title=""/>
                  <o:lock v:ext="edit" aspectratio="t"/>
                  <w10:wrap type="none"/>
                  <w10:anchorlock/>
                </v:shape>
              </w:pict>
            </w:r>
            <w:r>
              <w:rPr>
                <w:sz w:val="18"/>
                <w:szCs w:val="18"/>
              </w:rPr>
              <w:t>只有当峰值电流</w:t>
            </w:r>
            <w:r>
              <w:rPr>
                <w:sz w:val="18"/>
                <w:szCs w:val="18"/>
              </w:rPr>
              <w:pict>
                <v:shape id="_x0000_i1048" o:spt="75" type="#_x0000_t75" style="height:20.4pt;width:15pt;" filled="f" o:preferrelative="t" stroked="f" coordsize="21600,21600">
                  <v:path/>
                  <v:fill on="f" focussize="0,0"/>
                  <v:stroke on="f" joinstyle="miter"/>
                  <v:imagedata r:id="rId37" o:title=""/>
                  <o:lock v:ext="edit" aspectratio="t"/>
                  <w10:wrap type="none"/>
                  <w10:anchorlock/>
                </v:shape>
              </w:pict>
            </w:r>
            <w:r>
              <w:rPr>
                <w:sz w:val="18"/>
                <w:szCs w:val="18"/>
              </w:rPr>
              <w:t>&gt;80kA的单芯电缆和</w:t>
            </w:r>
            <w:r>
              <w:rPr>
                <w:sz w:val="18"/>
                <w:szCs w:val="18"/>
              </w:rPr>
              <w:pict>
                <v:shape id="_x0000_i1049" o:spt="75" type="#_x0000_t75" style="height:20.4pt;width:15pt;" filled="f" o:preferrelative="t" stroked="f" coordsize="21600,21600">
                  <v:path/>
                  <v:fill on="f" focussize="0,0"/>
                  <v:stroke on="f" joinstyle="miter"/>
                  <v:imagedata r:id="rId37" o:title=""/>
                  <o:lock v:ext="edit" aspectratio="t"/>
                  <w10:wrap type="none"/>
                  <w10:anchorlock/>
                </v:shape>
              </w:pict>
            </w:r>
            <w:r>
              <w:rPr>
                <w:sz w:val="18"/>
                <w:szCs w:val="18"/>
              </w:rPr>
              <w:t>&gt;63kA的三芯电缆，其终端才要求进行短路动稳定试验。</w:t>
            </w:r>
          </w:p>
        </w:tc>
      </w:tr>
    </w:tbl>
    <w:p>
      <w:pPr>
        <w:pStyle w:val="71"/>
        <w:adjustRightInd w:val="0"/>
        <w:spacing w:line="360" w:lineRule="auto"/>
        <w:ind w:firstLine="480"/>
        <w:rPr>
          <w:rFonts w:ascii="Times New Roman" w:hAnsi="Times New Roman" w:eastAsia="宋体"/>
          <w:sz w:val="24"/>
          <w:szCs w:val="24"/>
        </w:rPr>
      </w:pPr>
    </w:p>
    <w:p>
      <w:pPr>
        <w:pStyle w:val="71"/>
        <w:adjustRightInd w:val="0"/>
        <w:spacing w:line="360" w:lineRule="auto"/>
        <w:ind w:firstLine="480"/>
        <w:rPr>
          <w:rFonts w:ascii="Times New Roman" w:hAnsi="Times New Roman" w:eastAsia="宋体"/>
          <w:sz w:val="24"/>
          <w:szCs w:val="24"/>
        </w:rPr>
      </w:pPr>
    </w:p>
    <w:p>
      <w:pPr>
        <w:pStyle w:val="71"/>
        <w:adjustRightInd w:val="0"/>
        <w:spacing w:line="360" w:lineRule="auto"/>
        <w:ind w:firstLine="480"/>
        <w:rPr>
          <w:rFonts w:ascii="Times New Roman" w:hAnsi="Times New Roman" w:eastAsia="宋体"/>
          <w:sz w:val="24"/>
          <w:szCs w:val="24"/>
        </w:rPr>
      </w:pPr>
    </w:p>
    <w:p>
      <w:pPr>
        <w:pStyle w:val="190"/>
        <w:rPr>
          <w:rFonts w:hAnsi="Times New Roman" w:cs="Times New Roman"/>
          <w:b/>
        </w:rPr>
      </w:pPr>
      <w:r>
        <w:rPr>
          <w:rFonts w:hAnsi="Times New Roman" w:cs="Times New Roman"/>
          <w:b/>
        </w:rPr>
        <w:t xml:space="preserve">6.1.2 </w:t>
      </w:r>
      <w:r>
        <w:rPr>
          <w:rFonts w:ascii="黑体" w:hAnsi="黑体"/>
        </w:rPr>
        <w:t>电缆直通接头</w:t>
      </w:r>
    </w:p>
    <w:p>
      <w:pPr>
        <w:pStyle w:val="184"/>
      </w:pPr>
      <w:r>
        <w:rPr>
          <w:rFonts w:hint="eastAsia"/>
        </w:rPr>
        <w:t>表2  电缆直通接头试验项目要求</w:t>
      </w:r>
    </w:p>
    <w:tbl>
      <w:tblPr>
        <w:tblStyle w:val="38"/>
        <w:tblW w:w="14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909"/>
        <w:gridCol w:w="2999"/>
        <w:gridCol w:w="1136"/>
        <w:gridCol w:w="1275"/>
        <w:gridCol w:w="1133"/>
        <w:gridCol w:w="1136"/>
        <w:gridCol w:w="991"/>
        <w:gridCol w:w="1136"/>
        <w:gridCol w:w="911"/>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865" w:type="dxa"/>
            <w:vAlign w:val="center"/>
          </w:tcPr>
          <w:p>
            <w:pPr>
              <w:adjustRightInd w:val="0"/>
              <w:jc w:val="center"/>
              <w:rPr>
                <w:sz w:val="18"/>
                <w:szCs w:val="18"/>
              </w:rPr>
            </w:pPr>
            <w:r>
              <w:rPr>
                <w:sz w:val="18"/>
                <w:szCs w:val="18"/>
              </w:rPr>
              <w:t>序号</w:t>
            </w:r>
          </w:p>
        </w:tc>
        <w:tc>
          <w:tcPr>
            <w:tcW w:w="4908" w:type="dxa"/>
            <w:gridSpan w:val="2"/>
            <w:vAlign w:val="center"/>
          </w:tcPr>
          <w:p>
            <w:pPr>
              <w:adjustRightInd w:val="0"/>
              <w:jc w:val="center"/>
              <w:rPr>
                <w:sz w:val="18"/>
                <w:szCs w:val="18"/>
              </w:rPr>
            </w:pPr>
            <w:r>
              <w:rPr>
                <w:sz w:val="18"/>
                <w:szCs w:val="18"/>
              </w:rPr>
              <w:t>试验项目</w:t>
            </w:r>
            <w:r>
              <w:rPr>
                <w:sz w:val="18"/>
                <w:szCs w:val="18"/>
              </w:rPr>
              <w:pict>
                <v:shape id="_x0000_i1050" o:spt="75" type="#_x0000_t75" style="height:16.2pt;width:8.4pt;" filled="f" o:preferrelative="t" stroked="f" coordsize="21600,21600">
                  <v:path/>
                  <v:fill on="f" focussize="0,0"/>
                  <v:stroke on="f" joinstyle="miter"/>
                  <v:imagedata r:id="rId20" o:title=""/>
                  <o:lock v:ext="edit" aspectratio="t"/>
                  <w10:wrap type="none"/>
                  <w10:anchorlock/>
                </v:shape>
              </w:pict>
            </w:r>
          </w:p>
        </w:tc>
        <w:tc>
          <w:tcPr>
            <w:tcW w:w="1136" w:type="dxa"/>
            <w:vAlign w:val="center"/>
          </w:tcPr>
          <w:p>
            <w:pPr>
              <w:adjustRightInd w:val="0"/>
              <w:jc w:val="center"/>
              <w:rPr>
                <w:sz w:val="18"/>
                <w:szCs w:val="18"/>
              </w:rPr>
            </w:pPr>
            <w:r>
              <w:rPr>
                <w:sz w:val="18"/>
                <w:szCs w:val="18"/>
              </w:rPr>
              <w:t>型式试验</w:t>
            </w:r>
          </w:p>
        </w:tc>
        <w:tc>
          <w:tcPr>
            <w:tcW w:w="1275" w:type="dxa"/>
            <w:vAlign w:val="center"/>
          </w:tcPr>
          <w:p>
            <w:pPr>
              <w:adjustRightInd w:val="0"/>
              <w:jc w:val="center"/>
              <w:rPr>
                <w:sz w:val="18"/>
                <w:szCs w:val="18"/>
              </w:rPr>
            </w:pPr>
            <w:r>
              <w:rPr>
                <w:sz w:val="18"/>
                <w:szCs w:val="18"/>
              </w:rPr>
              <w:t>例行试验</w:t>
            </w:r>
          </w:p>
        </w:tc>
        <w:tc>
          <w:tcPr>
            <w:tcW w:w="1133" w:type="dxa"/>
            <w:vAlign w:val="center"/>
          </w:tcPr>
          <w:p>
            <w:pPr>
              <w:adjustRightInd w:val="0"/>
              <w:jc w:val="center"/>
              <w:rPr>
                <w:sz w:val="18"/>
                <w:szCs w:val="18"/>
              </w:rPr>
            </w:pPr>
            <w:r>
              <w:rPr>
                <w:sz w:val="18"/>
                <w:szCs w:val="18"/>
              </w:rPr>
              <w:t>出厂试验</w:t>
            </w:r>
          </w:p>
        </w:tc>
        <w:tc>
          <w:tcPr>
            <w:tcW w:w="1136" w:type="dxa"/>
            <w:vAlign w:val="center"/>
          </w:tcPr>
          <w:p>
            <w:pPr>
              <w:adjustRightInd w:val="0"/>
              <w:jc w:val="center"/>
              <w:rPr>
                <w:sz w:val="18"/>
                <w:szCs w:val="18"/>
              </w:rPr>
            </w:pPr>
            <w:r>
              <w:rPr>
                <w:sz w:val="18"/>
                <w:szCs w:val="18"/>
              </w:rPr>
              <w:t>送样检测</w:t>
            </w:r>
          </w:p>
        </w:tc>
        <w:tc>
          <w:tcPr>
            <w:tcW w:w="991" w:type="dxa"/>
            <w:vAlign w:val="center"/>
          </w:tcPr>
          <w:p>
            <w:pPr>
              <w:adjustRightInd w:val="0"/>
              <w:jc w:val="center"/>
              <w:rPr>
                <w:sz w:val="18"/>
                <w:szCs w:val="18"/>
              </w:rPr>
            </w:pPr>
            <w:r>
              <w:rPr>
                <w:sz w:val="18"/>
                <w:szCs w:val="18"/>
              </w:rPr>
              <w:t>专项抽检</w:t>
            </w:r>
          </w:p>
        </w:tc>
        <w:tc>
          <w:tcPr>
            <w:tcW w:w="1136" w:type="dxa"/>
            <w:vAlign w:val="center"/>
          </w:tcPr>
          <w:p>
            <w:pPr>
              <w:adjustRightInd w:val="0"/>
              <w:jc w:val="center"/>
              <w:rPr>
                <w:sz w:val="18"/>
                <w:szCs w:val="18"/>
              </w:rPr>
            </w:pPr>
            <w:r>
              <w:rPr>
                <w:sz w:val="18"/>
                <w:szCs w:val="18"/>
              </w:rPr>
              <w:t>到货抽检</w:t>
            </w:r>
          </w:p>
        </w:tc>
        <w:tc>
          <w:tcPr>
            <w:tcW w:w="911" w:type="dxa"/>
            <w:vAlign w:val="center"/>
          </w:tcPr>
          <w:p>
            <w:pPr>
              <w:adjustRightInd w:val="0"/>
              <w:jc w:val="center"/>
              <w:rPr>
                <w:sz w:val="18"/>
                <w:szCs w:val="18"/>
              </w:rPr>
            </w:pPr>
            <w:r>
              <w:rPr>
                <w:sz w:val="18"/>
                <w:szCs w:val="18"/>
              </w:rPr>
              <w:t>交接试验</w:t>
            </w:r>
          </w:p>
        </w:tc>
        <w:tc>
          <w:tcPr>
            <w:tcW w:w="1295" w:type="dxa"/>
            <w:vAlign w:val="center"/>
          </w:tcPr>
          <w:p>
            <w:pPr>
              <w:adjustRightInd w:val="0"/>
              <w:jc w:val="center"/>
              <w:rPr>
                <w:sz w:val="18"/>
                <w:szCs w:val="18"/>
              </w:rPr>
            </w:pPr>
            <w:r>
              <w:rPr>
                <w:sz w:val="18"/>
                <w:szCs w:val="18"/>
              </w:rPr>
              <w:t>预防性试验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1</w:t>
            </w:r>
          </w:p>
        </w:tc>
        <w:tc>
          <w:tcPr>
            <w:tcW w:w="4908" w:type="dxa"/>
            <w:gridSpan w:val="2"/>
            <w:vAlign w:val="center"/>
          </w:tcPr>
          <w:p>
            <w:pPr>
              <w:adjustRightInd w:val="0"/>
              <w:jc w:val="center"/>
              <w:rPr>
                <w:sz w:val="18"/>
                <w:szCs w:val="18"/>
              </w:rPr>
            </w:pPr>
            <w:r>
              <w:rPr>
                <w:sz w:val="18"/>
                <w:szCs w:val="18"/>
              </w:rPr>
              <w:t>标示、外观检查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可选</w:t>
            </w:r>
          </w:p>
        </w:tc>
        <w:tc>
          <w:tcPr>
            <w:tcW w:w="1295"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2</w:t>
            </w:r>
          </w:p>
        </w:tc>
        <w:tc>
          <w:tcPr>
            <w:tcW w:w="4908" w:type="dxa"/>
            <w:gridSpan w:val="2"/>
            <w:vAlign w:val="center"/>
          </w:tcPr>
          <w:p>
            <w:pPr>
              <w:adjustRightInd w:val="0"/>
              <w:jc w:val="center"/>
              <w:rPr>
                <w:sz w:val="18"/>
                <w:szCs w:val="18"/>
              </w:rPr>
            </w:pPr>
            <w:r>
              <w:rPr>
                <w:sz w:val="18"/>
                <w:szCs w:val="18"/>
              </w:rPr>
              <w:t>结构、尺寸检查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可选</w:t>
            </w:r>
          </w:p>
        </w:tc>
        <w:tc>
          <w:tcPr>
            <w:tcW w:w="1295"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3</w:t>
            </w:r>
          </w:p>
        </w:tc>
        <w:tc>
          <w:tcPr>
            <w:tcW w:w="4908" w:type="dxa"/>
            <w:gridSpan w:val="2"/>
            <w:vAlign w:val="center"/>
          </w:tcPr>
          <w:p>
            <w:pPr>
              <w:adjustRightInd w:val="0"/>
              <w:jc w:val="center"/>
              <w:rPr>
                <w:sz w:val="18"/>
                <w:szCs w:val="18"/>
              </w:rPr>
            </w:pPr>
            <w:r>
              <w:rPr>
                <w:sz w:val="18"/>
                <w:szCs w:val="18"/>
              </w:rPr>
              <w:t>出厂试验报告检查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必选</w:t>
            </w:r>
          </w:p>
        </w:tc>
        <w:tc>
          <w:tcPr>
            <w:tcW w:w="1295"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4</w:t>
            </w:r>
          </w:p>
        </w:tc>
        <w:tc>
          <w:tcPr>
            <w:tcW w:w="4908" w:type="dxa"/>
            <w:gridSpan w:val="2"/>
            <w:vAlign w:val="center"/>
          </w:tcPr>
          <w:p>
            <w:pPr>
              <w:adjustRightInd w:val="0"/>
              <w:jc w:val="center"/>
              <w:rPr>
                <w:sz w:val="18"/>
                <w:szCs w:val="18"/>
              </w:rPr>
            </w:pPr>
            <w:r>
              <w:rPr>
                <w:sz w:val="18"/>
                <w:szCs w:val="18"/>
              </w:rPr>
              <w:t>型式试验报告检查</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第一次入网必选，其他可选</w:t>
            </w:r>
          </w:p>
        </w:tc>
        <w:tc>
          <w:tcPr>
            <w:tcW w:w="911" w:type="dxa"/>
            <w:vAlign w:val="center"/>
          </w:tcPr>
          <w:p>
            <w:pPr>
              <w:adjustRightInd w:val="0"/>
              <w:jc w:val="center"/>
              <w:rPr>
                <w:sz w:val="18"/>
                <w:szCs w:val="18"/>
              </w:rPr>
            </w:pPr>
            <w:r>
              <w:rPr>
                <w:sz w:val="18"/>
                <w:szCs w:val="18"/>
              </w:rPr>
              <w:t>可选</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5</w:t>
            </w:r>
          </w:p>
        </w:tc>
        <w:tc>
          <w:tcPr>
            <w:tcW w:w="4908" w:type="dxa"/>
            <w:gridSpan w:val="2"/>
            <w:vAlign w:val="center"/>
          </w:tcPr>
          <w:p>
            <w:pPr>
              <w:adjustRightInd w:val="0"/>
              <w:jc w:val="center"/>
              <w:rPr>
                <w:sz w:val="18"/>
                <w:szCs w:val="18"/>
              </w:rPr>
            </w:pPr>
            <w:r>
              <w:rPr>
                <w:sz w:val="18"/>
                <w:szCs w:val="18"/>
              </w:rPr>
              <w:t>硅橡胶材料、绝缘填充剂相容性、绝缘混合剂、绝缘自粘胶带、防水胶带、浇注树脂等性能试验报告检查</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第一次入网必选，其他可选</w:t>
            </w:r>
          </w:p>
        </w:tc>
        <w:tc>
          <w:tcPr>
            <w:tcW w:w="911" w:type="dxa"/>
            <w:vAlign w:val="center"/>
          </w:tcPr>
          <w:p>
            <w:pPr>
              <w:adjustRightInd w:val="0"/>
              <w:jc w:val="center"/>
              <w:rPr>
                <w:sz w:val="18"/>
                <w:szCs w:val="18"/>
              </w:rPr>
            </w:pPr>
            <w:r>
              <w:rPr>
                <w:sz w:val="18"/>
                <w:szCs w:val="18"/>
              </w:rPr>
              <w:t>可选</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6</w:t>
            </w:r>
          </w:p>
        </w:tc>
        <w:tc>
          <w:tcPr>
            <w:tcW w:w="4908" w:type="dxa"/>
            <w:gridSpan w:val="2"/>
            <w:vAlign w:val="center"/>
          </w:tcPr>
          <w:p>
            <w:pPr>
              <w:adjustRightInd w:val="0"/>
              <w:jc w:val="center"/>
              <w:rPr>
                <w:sz w:val="18"/>
                <w:szCs w:val="18"/>
              </w:rPr>
            </w:pPr>
            <w:r>
              <w:rPr>
                <w:rFonts w:hint="eastAsia"/>
                <w:sz w:val="18"/>
                <w:szCs w:val="18"/>
              </w:rPr>
              <w:t>冷缩附件</w:t>
            </w:r>
            <w:r>
              <w:rPr>
                <w:sz w:val="18"/>
                <w:szCs w:val="18"/>
              </w:rPr>
              <w:t>整体老化后永久变形率试验（100</w:t>
            </w:r>
            <w:r>
              <w:rPr>
                <w:rFonts w:hint="eastAsia"/>
                <w:sz w:val="18"/>
                <w:szCs w:val="18"/>
              </w:rPr>
              <w:t>℃下</w:t>
            </w:r>
            <w:r>
              <w:rPr>
                <w:sz w:val="18"/>
                <w:szCs w:val="18"/>
              </w:rPr>
              <w:t>3</w:t>
            </w:r>
            <w:r>
              <w:rPr>
                <w:rFonts w:hint="eastAsia"/>
                <w:sz w:val="18"/>
                <w:szCs w:val="18"/>
              </w:rPr>
              <w:t>小时</w:t>
            </w:r>
            <w:r>
              <w:rPr>
                <w:sz w:val="18"/>
                <w:szCs w:val="18"/>
              </w:rPr>
              <w:t>）</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7</w:t>
            </w:r>
          </w:p>
        </w:tc>
        <w:tc>
          <w:tcPr>
            <w:tcW w:w="4908" w:type="dxa"/>
            <w:gridSpan w:val="2"/>
            <w:vAlign w:val="center"/>
          </w:tcPr>
          <w:p>
            <w:pPr>
              <w:adjustRightInd w:val="0"/>
              <w:jc w:val="center"/>
              <w:rPr>
                <w:sz w:val="18"/>
                <w:szCs w:val="18"/>
              </w:rPr>
            </w:pPr>
            <w:r>
              <w:rPr>
                <w:sz w:val="18"/>
                <w:szCs w:val="18"/>
              </w:rPr>
              <w:t>冷缩扩张率</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8</w:t>
            </w:r>
          </w:p>
        </w:tc>
        <w:tc>
          <w:tcPr>
            <w:tcW w:w="4908" w:type="dxa"/>
            <w:gridSpan w:val="2"/>
            <w:vAlign w:val="center"/>
          </w:tcPr>
          <w:p>
            <w:pPr>
              <w:adjustRightInd w:val="0"/>
              <w:jc w:val="center"/>
              <w:rPr>
                <w:sz w:val="18"/>
                <w:szCs w:val="18"/>
              </w:rPr>
            </w:pPr>
            <w:r>
              <w:rPr>
                <w:sz w:val="18"/>
                <w:szCs w:val="18"/>
              </w:rPr>
              <w:t>电缆主绝缘上的扩张率</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9</w:t>
            </w:r>
          </w:p>
        </w:tc>
        <w:tc>
          <w:tcPr>
            <w:tcW w:w="4908" w:type="dxa"/>
            <w:gridSpan w:val="2"/>
            <w:vAlign w:val="center"/>
          </w:tcPr>
          <w:p>
            <w:pPr>
              <w:adjustRightInd w:val="0"/>
              <w:jc w:val="center"/>
              <w:rPr>
                <w:sz w:val="18"/>
                <w:szCs w:val="18"/>
              </w:rPr>
            </w:pPr>
            <w:r>
              <w:rPr>
                <w:sz w:val="18"/>
                <w:szCs w:val="18"/>
              </w:rPr>
              <w:t>支撑芯绳老化试验（60</w:t>
            </w:r>
            <w:r>
              <w:rPr>
                <w:rFonts w:hint="eastAsia"/>
                <w:sz w:val="18"/>
                <w:szCs w:val="18"/>
              </w:rPr>
              <w:t>℃下</w:t>
            </w:r>
            <w:r>
              <w:rPr>
                <w:sz w:val="18"/>
                <w:szCs w:val="18"/>
              </w:rPr>
              <w:t>72</w:t>
            </w:r>
            <w:r>
              <w:rPr>
                <w:rFonts w:hint="eastAsia"/>
                <w:sz w:val="18"/>
                <w:szCs w:val="18"/>
              </w:rPr>
              <w:t>小时</w:t>
            </w:r>
            <w:r>
              <w:rPr>
                <w:sz w:val="18"/>
                <w:szCs w:val="18"/>
              </w:rPr>
              <w:t>）</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10</w:t>
            </w:r>
          </w:p>
        </w:tc>
        <w:tc>
          <w:tcPr>
            <w:tcW w:w="4908" w:type="dxa"/>
            <w:gridSpan w:val="2"/>
            <w:vAlign w:val="center"/>
          </w:tcPr>
          <w:p>
            <w:pPr>
              <w:adjustRightInd w:val="0"/>
              <w:jc w:val="center"/>
              <w:rPr>
                <w:sz w:val="18"/>
                <w:szCs w:val="18"/>
              </w:rPr>
            </w:pPr>
            <w:r>
              <w:rPr>
                <w:sz w:val="18"/>
                <w:szCs w:val="18"/>
              </w:rPr>
              <w:t>恒力弹簧试验（10天）</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11</w:t>
            </w:r>
          </w:p>
        </w:tc>
        <w:tc>
          <w:tcPr>
            <w:tcW w:w="4908" w:type="dxa"/>
            <w:gridSpan w:val="2"/>
            <w:vAlign w:val="center"/>
          </w:tcPr>
          <w:p>
            <w:pPr>
              <w:adjustRightInd w:val="0"/>
              <w:jc w:val="center"/>
              <w:rPr>
                <w:sz w:val="18"/>
                <w:szCs w:val="18"/>
              </w:rPr>
            </w:pPr>
            <w:r>
              <w:rPr>
                <w:rFonts w:hint="eastAsia"/>
                <w:sz w:val="18"/>
                <w:szCs w:val="18"/>
              </w:rPr>
              <w:t>防水胶带</w:t>
            </w:r>
            <w:r>
              <w:rPr>
                <w:sz w:val="18"/>
                <w:szCs w:val="18"/>
              </w:rPr>
              <w:t>保气试验</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12</w:t>
            </w:r>
          </w:p>
        </w:tc>
        <w:tc>
          <w:tcPr>
            <w:tcW w:w="4908" w:type="dxa"/>
            <w:gridSpan w:val="2"/>
            <w:vAlign w:val="center"/>
          </w:tcPr>
          <w:p>
            <w:pPr>
              <w:adjustRightInd w:val="0"/>
              <w:jc w:val="center"/>
              <w:rPr>
                <w:sz w:val="18"/>
                <w:szCs w:val="18"/>
              </w:rPr>
            </w:pPr>
            <w:r>
              <w:rPr>
                <w:sz w:val="18"/>
                <w:szCs w:val="18"/>
              </w:rPr>
              <w:t>绝缘自粘胶带耐压试验</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65" w:type="dxa"/>
            <w:vAlign w:val="center"/>
          </w:tcPr>
          <w:p>
            <w:pPr>
              <w:adjustRightInd w:val="0"/>
              <w:jc w:val="center"/>
              <w:rPr>
                <w:sz w:val="18"/>
                <w:szCs w:val="18"/>
              </w:rPr>
            </w:pPr>
            <w:r>
              <w:rPr>
                <w:sz w:val="18"/>
                <w:szCs w:val="18"/>
              </w:rPr>
              <w:t>13</w:t>
            </w:r>
          </w:p>
        </w:tc>
        <w:tc>
          <w:tcPr>
            <w:tcW w:w="4908" w:type="dxa"/>
            <w:gridSpan w:val="2"/>
            <w:vAlign w:val="center"/>
          </w:tcPr>
          <w:p>
            <w:pPr>
              <w:adjustRightInd w:val="0"/>
              <w:jc w:val="center"/>
              <w:rPr>
                <w:sz w:val="18"/>
                <w:szCs w:val="18"/>
              </w:rPr>
            </w:pPr>
            <w:r>
              <w:rPr>
                <w:rFonts w:hint="eastAsia"/>
                <w:sz w:val="18"/>
                <w:szCs w:val="18"/>
              </w:rPr>
              <w:t>直通接头</w:t>
            </w:r>
            <w:r>
              <w:rPr>
                <w:sz w:val="18"/>
                <w:szCs w:val="18"/>
              </w:rPr>
              <w:t>浸水试验（1m，240小时）</w:t>
            </w:r>
          </w:p>
        </w:tc>
        <w:tc>
          <w:tcPr>
            <w:tcW w:w="1136" w:type="dxa"/>
            <w:vAlign w:val="center"/>
          </w:tcPr>
          <w:p>
            <w:pPr>
              <w:adjustRightInd w:val="0"/>
              <w:jc w:val="center"/>
              <w:rPr>
                <w:sz w:val="18"/>
                <w:szCs w:val="18"/>
              </w:rPr>
            </w:pPr>
            <w:r>
              <w:rPr>
                <w:sz w:val="18"/>
                <w:szCs w:val="18"/>
              </w:rPr>
              <w:t>可选</w:t>
            </w:r>
          </w:p>
        </w:tc>
        <w:tc>
          <w:tcPr>
            <w:tcW w:w="1275" w:type="dxa"/>
            <w:vAlign w:val="center"/>
          </w:tcPr>
          <w:p>
            <w:pPr>
              <w:adjustRightInd w:val="0"/>
              <w:jc w:val="center"/>
              <w:rPr>
                <w:sz w:val="18"/>
                <w:szCs w:val="18"/>
              </w:rPr>
            </w:pPr>
            <w:r>
              <w:rPr>
                <w:sz w:val="18"/>
                <w:szCs w:val="18"/>
              </w:rPr>
              <w:t>可选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14</w:t>
            </w:r>
          </w:p>
        </w:tc>
        <w:tc>
          <w:tcPr>
            <w:tcW w:w="4908" w:type="dxa"/>
            <w:gridSpan w:val="2"/>
            <w:vAlign w:val="center"/>
          </w:tcPr>
          <w:p>
            <w:pPr>
              <w:adjustRightInd w:val="0"/>
              <w:jc w:val="center"/>
              <w:rPr>
                <w:sz w:val="18"/>
                <w:szCs w:val="18"/>
              </w:rPr>
            </w:pPr>
            <w:r>
              <w:rPr>
                <w:sz w:val="18"/>
                <w:szCs w:val="18"/>
              </w:rPr>
              <w:t>振荡波局放检测</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91"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11" w:type="dxa"/>
            <w:vAlign w:val="center"/>
          </w:tcPr>
          <w:p>
            <w:pPr>
              <w:adjustRightInd w:val="0"/>
              <w:jc w:val="center"/>
              <w:rPr>
                <w:sz w:val="18"/>
                <w:szCs w:val="18"/>
              </w:rPr>
            </w:pPr>
            <w:r>
              <w:rPr>
                <w:sz w:val="18"/>
                <w:szCs w:val="18"/>
              </w:rPr>
              <w:t>可选</w:t>
            </w:r>
          </w:p>
        </w:tc>
        <w:tc>
          <w:tcPr>
            <w:tcW w:w="1295" w:type="dxa"/>
            <w:vAlign w:val="center"/>
          </w:tcPr>
          <w:p>
            <w:pPr>
              <w:adjustRightInd w:val="0"/>
              <w:jc w:val="center"/>
              <w:rPr>
                <w:sz w:val="18"/>
                <w:szCs w:val="18"/>
              </w:rPr>
            </w:pPr>
            <w:r>
              <w:rPr>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15</w:t>
            </w:r>
          </w:p>
        </w:tc>
        <w:tc>
          <w:tcPr>
            <w:tcW w:w="1909" w:type="dxa"/>
            <w:vMerge w:val="restart"/>
            <w:vAlign w:val="center"/>
          </w:tcPr>
          <w:p>
            <w:pPr>
              <w:adjustRightInd w:val="0"/>
              <w:jc w:val="center"/>
              <w:rPr>
                <w:sz w:val="18"/>
                <w:szCs w:val="18"/>
              </w:rPr>
            </w:pPr>
            <w:r>
              <w:rPr>
                <w:sz w:val="18"/>
                <w:szCs w:val="18"/>
              </w:rPr>
              <w:t>交流耐压</w:t>
            </w:r>
          </w:p>
        </w:tc>
        <w:tc>
          <w:tcPr>
            <w:tcW w:w="2999" w:type="dxa"/>
            <w:vAlign w:val="center"/>
          </w:tcPr>
          <w:p>
            <w:pPr>
              <w:adjustRightInd w:val="0"/>
              <w:jc w:val="center"/>
              <w:rPr>
                <w:sz w:val="18"/>
                <w:szCs w:val="18"/>
              </w:rPr>
            </w:pPr>
            <w:r>
              <w:rPr>
                <w:sz w:val="18"/>
                <w:szCs w:val="18"/>
              </w:rPr>
              <w:t>交流耐压5min（39kV）</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16</w:t>
            </w:r>
          </w:p>
        </w:tc>
        <w:tc>
          <w:tcPr>
            <w:tcW w:w="1909" w:type="dxa"/>
            <w:vMerge w:val="continue"/>
            <w:vAlign w:val="center"/>
          </w:tcPr>
          <w:p>
            <w:pPr>
              <w:adjustRightInd w:val="0"/>
              <w:jc w:val="center"/>
              <w:rPr>
                <w:sz w:val="18"/>
                <w:szCs w:val="18"/>
              </w:rPr>
            </w:pPr>
          </w:p>
        </w:tc>
        <w:tc>
          <w:tcPr>
            <w:tcW w:w="2999" w:type="dxa"/>
            <w:vAlign w:val="center"/>
          </w:tcPr>
          <w:p>
            <w:pPr>
              <w:adjustRightInd w:val="0"/>
              <w:jc w:val="center"/>
              <w:rPr>
                <w:sz w:val="18"/>
                <w:szCs w:val="18"/>
              </w:rPr>
            </w:pPr>
            <w:r>
              <w:rPr>
                <w:sz w:val="18"/>
                <w:szCs w:val="18"/>
              </w:rPr>
              <w:t>交流耐压，湿态1min（35kV）</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91"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17</w:t>
            </w:r>
          </w:p>
        </w:tc>
        <w:tc>
          <w:tcPr>
            <w:tcW w:w="4908" w:type="dxa"/>
            <w:gridSpan w:val="2"/>
            <w:vAlign w:val="center"/>
          </w:tcPr>
          <w:p>
            <w:pPr>
              <w:adjustRightInd w:val="0"/>
              <w:jc w:val="center"/>
              <w:rPr>
                <w:sz w:val="18"/>
                <w:szCs w:val="18"/>
              </w:rPr>
            </w:pPr>
            <w:r>
              <w:rPr>
                <w:sz w:val="18"/>
                <w:szCs w:val="18"/>
              </w:rPr>
              <w:t>局部放电（15kV）</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18</w:t>
            </w:r>
          </w:p>
        </w:tc>
        <w:tc>
          <w:tcPr>
            <w:tcW w:w="4908" w:type="dxa"/>
            <w:gridSpan w:val="2"/>
            <w:vAlign w:val="center"/>
          </w:tcPr>
          <w:p>
            <w:pPr>
              <w:adjustRightInd w:val="0"/>
              <w:jc w:val="center"/>
              <w:rPr>
                <w:sz w:val="18"/>
                <w:szCs w:val="18"/>
              </w:rPr>
            </w:pPr>
            <w:r>
              <w:rPr>
                <w:sz w:val="18"/>
                <w:szCs w:val="18"/>
              </w:rPr>
              <w:t>冲击电压试验，在</w:t>
            </w:r>
            <w:r>
              <w:rPr>
                <w:sz w:val="18"/>
                <w:szCs w:val="18"/>
              </w:rPr>
              <w:pict>
                <v:shape id="_x0000_i1051" o:spt="75" type="#_x0000_t75" style="height:20.4pt;width:20.4pt;" filled="f" o:preferrelative="t" stroked="f" coordsize="21600,21600">
                  <v:path/>
                  <v:fill on="f" focussize="0,0"/>
                  <v:stroke on="f" joinstyle="miter"/>
                  <v:imagedata r:id="rId38" o:title=""/>
                  <o:lock v:ext="edit" aspectratio="t"/>
                  <w10:wrap type="none"/>
                  <w10:anchorlock/>
                </v:shape>
              </w:pict>
            </w:r>
            <w:r>
              <w:rPr>
                <w:sz w:val="18"/>
                <w:szCs w:val="18"/>
              </w:rPr>
              <w:t>下正负极性各10次</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19</w:t>
            </w:r>
          </w:p>
        </w:tc>
        <w:tc>
          <w:tcPr>
            <w:tcW w:w="1909" w:type="dxa"/>
            <w:vMerge w:val="restart"/>
            <w:vAlign w:val="center"/>
          </w:tcPr>
          <w:p>
            <w:pPr>
              <w:adjustRightInd w:val="0"/>
              <w:jc w:val="center"/>
              <w:rPr>
                <w:sz w:val="18"/>
                <w:szCs w:val="18"/>
              </w:rPr>
            </w:pPr>
            <w:r>
              <w:rPr>
                <w:sz w:val="18"/>
                <w:szCs w:val="18"/>
              </w:rPr>
              <w:t>恒压负荷热循环试验，在</w:t>
            </w:r>
            <w:r>
              <w:rPr>
                <w:sz w:val="18"/>
                <w:szCs w:val="18"/>
              </w:rPr>
              <w:pict>
                <v:shape id="_x0000_i1052" o:spt="75" type="#_x0000_t75" style="height:20.4pt;width:20.4pt;" filled="f" o:preferrelative="t" stroked="f" coordsize="21600,21600">
                  <v:path/>
                  <v:fill on="f" focussize="0,0"/>
                  <v:stroke on="f" joinstyle="miter"/>
                  <v:imagedata r:id="rId38" o:title=""/>
                  <o:lock v:ext="edit" aspectratio="t"/>
                  <w10:wrap type="none"/>
                  <w10:anchorlock/>
                </v:shape>
              </w:pict>
            </w:r>
            <w:r>
              <w:rPr>
                <w:sz w:val="18"/>
                <w:szCs w:val="18"/>
              </w:rPr>
              <w:t>下</w:t>
            </w:r>
          </w:p>
        </w:tc>
        <w:tc>
          <w:tcPr>
            <w:tcW w:w="2999" w:type="dxa"/>
            <w:vAlign w:val="center"/>
          </w:tcPr>
          <w:p>
            <w:pPr>
              <w:adjustRightInd w:val="0"/>
              <w:jc w:val="center"/>
              <w:rPr>
                <w:sz w:val="18"/>
                <w:szCs w:val="18"/>
              </w:rPr>
            </w:pPr>
            <w:r>
              <w:rPr>
                <w:sz w:val="18"/>
                <w:szCs w:val="18"/>
              </w:rPr>
              <w:t>在空气中，循环30次</w:t>
            </w:r>
            <w:r>
              <w:rPr>
                <w:sz w:val="18"/>
                <w:szCs w:val="18"/>
              </w:rPr>
              <w:pict>
                <v:shape id="_x0000_i1053" o:spt="75" type="#_x0000_t75" style="height:16.2pt;width:8.4pt;" filled="f" o:preferrelative="t" stroked="f" coordsize="21600,21600">
                  <v:path/>
                  <v:fill on="f" focussize="0,0"/>
                  <v:stroke on="f" joinstyle="miter"/>
                  <v:imagedata r:id="rId39"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20</w:t>
            </w:r>
          </w:p>
        </w:tc>
        <w:tc>
          <w:tcPr>
            <w:tcW w:w="1909" w:type="dxa"/>
            <w:vMerge w:val="continue"/>
            <w:vAlign w:val="center"/>
          </w:tcPr>
          <w:p>
            <w:pPr>
              <w:adjustRightInd w:val="0"/>
              <w:jc w:val="center"/>
              <w:rPr>
                <w:sz w:val="18"/>
                <w:szCs w:val="18"/>
              </w:rPr>
            </w:pPr>
          </w:p>
        </w:tc>
        <w:tc>
          <w:tcPr>
            <w:tcW w:w="2999" w:type="dxa"/>
            <w:vAlign w:val="center"/>
          </w:tcPr>
          <w:p>
            <w:pPr>
              <w:adjustRightInd w:val="0"/>
              <w:jc w:val="center"/>
              <w:rPr>
                <w:sz w:val="18"/>
                <w:szCs w:val="18"/>
              </w:rPr>
            </w:pPr>
            <w:r>
              <w:rPr>
                <w:sz w:val="18"/>
                <w:szCs w:val="18"/>
              </w:rPr>
              <w:t>在水中，循环30次</w:t>
            </w:r>
            <w:r>
              <w:rPr>
                <w:sz w:val="18"/>
                <w:szCs w:val="18"/>
              </w:rPr>
              <w:pict>
                <v:shape id="_x0000_i1054" o:spt="75" type="#_x0000_t75" style="height:16.2pt;width:8.4pt;" filled="f" o:preferrelative="t" stroked="f" coordsize="21600,21600">
                  <v:path/>
                  <v:fill on="f" focussize="0,0"/>
                  <v:stroke on="f" joinstyle="miter"/>
                  <v:imagedata r:id="rId39"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22</w:t>
            </w:r>
          </w:p>
        </w:tc>
        <w:tc>
          <w:tcPr>
            <w:tcW w:w="1909" w:type="dxa"/>
            <w:vMerge w:val="continue"/>
            <w:vAlign w:val="center"/>
          </w:tcPr>
          <w:p>
            <w:pPr>
              <w:adjustRightInd w:val="0"/>
              <w:jc w:val="center"/>
              <w:rPr>
                <w:sz w:val="18"/>
                <w:szCs w:val="18"/>
              </w:rPr>
            </w:pPr>
          </w:p>
        </w:tc>
        <w:tc>
          <w:tcPr>
            <w:tcW w:w="2999" w:type="dxa"/>
            <w:vAlign w:val="center"/>
          </w:tcPr>
          <w:p>
            <w:pPr>
              <w:adjustRightInd w:val="0"/>
              <w:jc w:val="center"/>
              <w:rPr>
                <w:sz w:val="18"/>
                <w:szCs w:val="18"/>
              </w:rPr>
            </w:pPr>
            <w:r>
              <w:rPr>
                <w:sz w:val="18"/>
                <w:szCs w:val="18"/>
              </w:rPr>
              <w:t>在空气中，循环3次</w:t>
            </w:r>
            <w:r>
              <w:rPr>
                <w:sz w:val="18"/>
                <w:szCs w:val="18"/>
              </w:rPr>
              <w:pict>
                <v:shape id="_x0000_i1055" o:spt="75" type="#_x0000_t75" style="height:16.2pt;width:8.4pt;" filled="f" o:preferrelative="t" stroked="f" coordsize="21600,21600">
                  <v:path/>
                  <v:fill on="f" focussize="0,0"/>
                  <v:stroke on="f" joinstyle="miter"/>
                  <v:imagedata r:id="rId39" o:title=""/>
                  <o:lock v:ext="edit" aspectratio="t"/>
                  <w10:wrap type="none"/>
                  <w10:anchorlock/>
                </v:shape>
              </w:pic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必选（一批次检测一套）</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23</w:t>
            </w:r>
          </w:p>
        </w:tc>
        <w:tc>
          <w:tcPr>
            <w:tcW w:w="4908" w:type="dxa"/>
            <w:gridSpan w:val="2"/>
            <w:vAlign w:val="center"/>
          </w:tcPr>
          <w:p>
            <w:pPr>
              <w:adjustRightInd w:val="0"/>
              <w:jc w:val="center"/>
              <w:rPr>
                <w:sz w:val="18"/>
                <w:szCs w:val="18"/>
              </w:rPr>
            </w:pPr>
            <w:r>
              <w:rPr>
                <w:sz w:val="18"/>
                <w:szCs w:val="18"/>
              </w:rPr>
              <w:t>局部放电(15kV)，在</w:t>
            </w:r>
            <w:r>
              <w:rPr>
                <w:sz w:val="18"/>
                <w:szCs w:val="18"/>
              </w:rPr>
              <w:pict>
                <v:shape id="_x0000_i1056" o:spt="75" type="#_x0000_t75" style="height:20.4pt;width:26.4pt;" filled="f" o:preferrelative="t" stroked="f" coordsize="21600,21600">
                  <v:path/>
                  <v:fill on="f" focussize="0,0"/>
                  <v:stroke on="f" joinstyle="miter"/>
                  <v:imagedata r:id="rId40" o:title=""/>
                  <o:lock v:ext="edit" aspectratio="t"/>
                  <w10:wrap type="none"/>
                  <w10:anchorlock/>
                </v:shape>
              </w:pict>
            </w:r>
            <w:r>
              <w:rPr>
                <w:sz w:val="18"/>
                <w:szCs w:val="18"/>
              </w:rPr>
              <w:t>和环境温度下</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24</w:t>
            </w:r>
          </w:p>
        </w:tc>
        <w:tc>
          <w:tcPr>
            <w:tcW w:w="4908" w:type="dxa"/>
            <w:gridSpan w:val="2"/>
            <w:vAlign w:val="center"/>
          </w:tcPr>
          <w:p>
            <w:pPr>
              <w:adjustRightInd w:val="0"/>
              <w:jc w:val="center"/>
              <w:rPr>
                <w:sz w:val="18"/>
                <w:szCs w:val="18"/>
              </w:rPr>
            </w:pPr>
            <w:r>
              <w:rPr>
                <w:sz w:val="18"/>
                <w:szCs w:val="18"/>
              </w:rPr>
              <w:t>局部放电(15kV)</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25</w:t>
            </w:r>
          </w:p>
        </w:tc>
        <w:tc>
          <w:tcPr>
            <w:tcW w:w="4908" w:type="dxa"/>
            <w:gridSpan w:val="2"/>
            <w:vAlign w:val="center"/>
          </w:tcPr>
          <w:p>
            <w:pPr>
              <w:adjustRightInd w:val="0"/>
              <w:jc w:val="center"/>
              <w:rPr>
                <w:sz w:val="18"/>
                <w:szCs w:val="18"/>
              </w:rPr>
            </w:pPr>
            <w:r>
              <w:rPr>
                <w:sz w:val="18"/>
                <w:szCs w:val="18"/>
              </w:rPr>
              <w:t>短路热稳定（屏蔽）</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26</w:t>
            </w:r>
          </w:p>
        </w:tc>
        <w:tc>
          <w:tcPr>
            <w:tcW w:w="4908" w:type="dxa"/>
            <w:gridSpan w:val="2"/>
            <w:vAlign w:val="center"/>
          </w:tcPr>
          <w:p>
            <w:pPr>
              <w:adjustRightInd w:val="0"/>
              <w:jc w:val="center"/>
              <w:rPr>
                <w:sz w:val="18"/>
                <w:szCs w:val="18"/>
              </w:rPr>
            </w:pPr>
            <w:r>
              <w:rPr>
                <w:sz w:val="18"/>
                <w:szCs w:val="18"/>
              </w:rPr>
              <w:t>短路热稳定（导体）</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27</w:t>
            </w:r>
          </w:p>
        </w:tc>
        <w:tc>
          <w:tcPr>
            <w:tcW w:w="4908" w:type="dxa"/>
            <w:gridSpan w:val="2"/>
            <w:vAlign w:val="center"/>
          </w:tcPr>
          <w:p>
            <w:pPr>
              <w:adjustRightInd w:val="0"/>
              <w:jc w:val="center"/>
              <w:rPr>
                <w:sz w:val="18"/>
                <w:szCs w:val="18"/>
              </w:rPr>
            </w:pPr>
            <w:r>
              <w:rPr>
                <w:sz w:val="18"/>
                <w:szCs w:val="18"/>
              </w:rPr>
              <w:t>短路动稳定</w:t>
            </w:r>
            <w:r>
              <w:rPr>
                <w:sz w:val="18"/>
                <w:szCs w:val="18"/>
              </w:rPr>
              <w:pict>
                <v:shape id="_x0000_i1057" o:spt="75" type="#_x0000_t75" style="height:16.2pt;width:9.6pt;" filled="f" o:preferrelative="t" stroked="f" coordsize="21600,21600">
                  <v:path/>
                  <v:fill on="f" focussize="0,0"/>
                  <v:stroke on="f" joinstyle="miter"/>
                  <v:imagedata r:id="rId28" o:title=""/>
                  <o:lock v:ext="edit" aspectratio="t"/>
                  <w10:wrap type="none"/>
                  <w10:anchorlock/>
                </v:shape>
              </w:pic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28</w:t>
            </w:r>
          </w:p>
        </w:tc>
        <w:tc>
          <w:tcPr>
            <w:tcW w:w="4908" w:type="dxa"/>
            <w:gridSpan w:val="2"/>
            <w:vAlign w:val="center"/>
          </w:tcPr>
          <w:p>
            <w:pPr>
              <w:adjustRightInd w:val="0"/>
              <w:jc w:val="center"/>
              <w:rPr>
                <w:sz w:val="18"/>
                <w:szCs w:val="18"/>
              </w:rPr>
            </w:pPr>
            <w:r>
              <w:rPr>
                <w:sz w:val="18"/>
                <w:szCs w:val="18"/>
              </w:rPr>
              <w:t>冲击电压试验（95kV），正负极性各10次</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29</w:t>
            </w:r>
          </w:p>
        </w:tc>
        <w:tc>
          <w:tcPr>
            <w:tcW w:w="4908" w:type="dxa"/>
            <w:gridSpan w:val="2"/>
            <w:vAlign w:val="center"/>
          </w:tcPr>
          <w:p>
            <w:pPr>
              <w:adjustRightInd w:val="0"/>
              <w:jc w:val="center"/>
              <w:rPr>
                <w:sz w:val="18"/>
                <w:szCs w:val="18"/>
              </w:rPr>
            </w:pPr>
            <w:r>
              <w:rPr>
                <w:sz w:val="18"/>
                <w:szCs w:val="18"/>
              </w:rPr>
              <w:t>交流耐压15min（22kV）</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30</w:t>
            </w:r>
          </w:p>
        </w:tc>
        <w:tc>
          <w:tcPr>
            <w:tcW w:w="4908" w:type="dxa"/>
            <w:gridSpan w:val="2"/>
            <w:vAlign w:val="center"/>
          </w:tcPr>
          <w:p>
            <w:pPr>
              <w:adjustRightInd w:val="0"/>
              <w:jc w:val="center"/>
              <w:rPr>
                <w:sz w:val="18"/>
                <w:szCs w:val="18"/>
              </w:rPr>
            </w:pPr>
            <w:r>
              <w:rPr>
                <w:sz w:val="18"/>
                <w:szCs w:val="18"/>
              </w:rPr>
              <w:t>潮湿试验300h</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31</w:t>
            </w:r>
          </w:p>
        </w:tc>
        <w:tc>
          <w:tcPr>
            <w:tcW w:w="4908" w:type="dxa"/>
            <w:gridSpan w:val="2"/>
            <w:vAlign w:val="center"/>
          </w:tcPr>
          <w:p>
            <w:pPr>
              <w:adjustRightInd w:val="0"/>
              <w:jc w:val="center"/>
              <w:rPr>
                <w:sz w:val="18"/>
                <w:szCs w:val="18"/>
              </w:rPr>
            </w:pPr>
            <w:r>
              <w:rPr>
                <w:sz w:val="18"/>
                <w:szCs w:val="18"/>
              </w:rPr>
              <w:t>盐雾试验1000h</w:t>
            </w:r>
          </w:p>
        </w:tc>
        <w:tc>
          <w:tcPr>
            <w:tcW w:w="1136" w:type="dxa"/>
            <w:vAlign w:val="center"/>
          </w:tcPr>
          <w:p>
            <w:pPr>
              <w:adjustRightInd w:val="0"/>
              <w:jc w:val="center"/>
              <w:rPr>
                <w:sz w:val="18"/>
                <w:szCs w:val="18"/>
              </w:rPr>
            </w:pPr>
            <w:r>
              <w:rPr>
                <w:sz w:val="18"/>
                <w:szCs w:val="18"/>
              </w:rPr>
              <w:t>必选</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91"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可选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32</w:t>
            </w:r>
          </w:p>
        </w:tc>
        <w:tc>
          <w:tcPr>
            <w:tcW w:w="4908" w:type="dxa"/>
            <w:gridSpan w:val="2"/>
            <w:vAlign w:val="center"/>
          </w:tcPr>
          <w:p>
            <w:pPr>
              <w:adjustRightInd w:val="0"/>
              <w:jc w:val="center"/>
              <w:rPr>
                <w:sz w:val="18"/>
                <w:szCs w:val="18"/>
              </w:rPr>
            </w:pPr>
            <w:r>
              <w:rPr>
                <w:sz w:val="18"/>
                <w:szCs w:val="18"/>
              </w:rPr>
              <w:t>交流耐压4h（35kV）</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必选</w:t>
            </w:r>
          </w:p>
        </w:tc>
        <w:tc>
          <w:tcPr>
            <w:tcW w:w="1133" w:type="dxa"/>
            <w:vAlign w:val="center"/>
          </w:tcPr>
          <w:p>
            <w:pPr>
              <w:adjustRightInd w:val="0"/>
              <w:jc w:val="center"/>
              <w:rPr>
                <w:sz w:val="18"/>
                <w:szCs w:val="18"/>
              </w:rPr>
            </w:pPr>
            <w:r>
              <w:rPr>
                <w:sz w:val="18"/>
                <w:szCs w:val="18"/>
              </w:rPr>
              <w:t>可选</w:t>
            </w:r>
          </w:p>
        </w:tc>
        <w:tc>
          <w:tcPr>
            <w:tcW w:w="1136" w:type="dxa"/>
            <w:vAlign w:val="center"/>
          </w:tcPr>
          <w:p>
            <w:pPr>
              <w:adjustRightInd w:val="0"/>
              <w:jc w:val="center"/>
              <w:rPr>
                <w:sz w:val="18"/>
                <w:szCs w:val="18"/>
              </w:rPr>
            </w:pPr>
            <w:r>
              <w:rPr>
                <w:sz w:val="18"/>
                <w:szCs w:val="18"/>
              </w:rPr>
              <w:t>必选</w:t>
            </w:r>
          </w:p>
        </w:tc>
        <w:tc>
          <w:tcPr>
            <w:tcW w:w="991" w:type="dxa"/>
            <w:vAlign w:val="center"/>
          </w:tcPr>
          <w:p>
            <w:pPr>
              <w:adjustRightInd w:val="0"/>
              <w:jc w:val="center"/>
              <w:rPr>
                <w:sz w:val="18"/>
                <w:szCs w:val="18"/>
              </w:rPr>
            </w:pPr>
            <w:r>
              <w:rPr>
                <w:sz w:val="18"/>
                <w:szCs w:val="18"/>
              </w:rPr>
              <w:t>必选</w:t>
            </w:r>
          </w:p>
        </w:tc>
        <w:tc>
          <w:tcPr>
            <w:tcW w:w="1136" w:type="dxa"/>
            <w:vAlign w:val="center"/>
          </w:tcPr>
          <w:p>
            <w:pPr>
              <w:adjustRightInd w:val="0"/>
              <w:jc w:val="center"/>
              <w:rPr>
                <w:sz w:val="18"/>
                <w:szCs w:val="18"/>
              </w:rPr>
            </w:pPr>
            <w:r>
              <w:rPr>
                <w:sz w:val="18"/>
                <w:szCs w:val="18"/>
              </w:rPr>
              <w:t>必选</w:t>
            </w:r>
          </w:p>
        </w:tc>
        <w:tc>
          <w:tcPr>
            <w:tcW w:w="911" w:type="dxa"/>
            <w:vAlign w:val="center"/>
          </w:tcPr>
          <w:p>
            <w:pPr>
              <w:adjustRightInd w:val="0"/>
              <w:jc w:val="center"/>
              <w:rPr>
                <w:sz w:val="18"/>
                <w:szCs w:val="18"/>
              </w:rPr>
            </w:pPr>
            <w:r>
              <w:rPr>
                <w:sz w:val="18"/>
                <w:szCs w:val="18"/>
              </w:rPr>
              <w:t>——</w:t>
            </w:r>
          </w:p>
        </w:tc>
        <w:tc>
          <w:tcPr>
            <w:tcW w:w="1295" w:type="dxa"/>
            <w:vAlign w:val="center"/>
          </w:tcPr>
          <w:p>
            <w:pPr>
              <w:adjustRightIn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5" w:type="dxa"/>
            <w:vAlign w:val="center"/>
          </w:tcPr>
          <w:p>
            <w:pPr>
              <w:adjustRightInd w:val="0"/>
              <w:jc w:val="center"/>
              <w:rPr>
                <w:sz w:val="18"/>
                <w:szCs w:val="18"/>
              </w:rPr>
            </w:pPr>
            <w:r>
              <w:rPr>
                <w:sz w:val="18"/>
                <w:szCs w:val="18"/>
              </w:rPr>
              <w:t>33</w:t>
            </w:r>
          </w:p>
        </w:tc>
        <w:tc>
          <w:tcPr>
            <w:tcW w:w="4908" w:type="dxa"/>
            <w:gridSpan w:val="2"/>
            <w:vAlign w:val="center"/>
          </w:tcPr>
          <w:p>
            <w:pPr>
              <w:adjustRightInd w:val="0"/>
              <w:jc w:val="center"/>
              <w:rPr>
                <w:sz w:val="18"/>
                <w:szCs w:val="18"/>
              </w:rPr>
            </w:pPr>
            <w:r>
              <w:rPr>
                <w:sz w:val="18"/>
                <w:szCs w:val="18"/>
              </w:rPr>
              <w:t>交流耐压：2.5</w:t>
            </w:r>
            <w:r>
              <w:rPr>
                <w:sz w:val="18"/>
                <w:szCs w:val="18"/>
              </w:rPr>
              <w:pict>
                <v:shape id="_x0000_i1058" o:spt="75" type="#_x0000_t75" style="height:20.4pt;width:16.2pt;" filled="f" o:preferrelative="t" stroked="f" coordsize="21600,21600">
                  <v:path/>
                  <v:fill on="f" focussize="0,0"/>
                  <v:stroke on="f" joinstyle="miter"/>
                  <v:imagedata r:id="rId29" o:title=""/>
                  <o:lock v:ext="edit" aspectratio="t"/>
                  <w10:wrap type="none"/>
                  <w10:anchorlock/>
                </v:shape>
              </w:pict>
            </w:r>
            <w:r>
              <w:rPr>
                <w:sz w:val="18"/>
                <w:szCs w:val="18"/>
              </w:rPr>
              <w:t>（5min）,或2</w:t>
            </w:r>
            <w:r>
              <w:rPr>
                <w:sz w:val="18"/>
                <w:szCs w:val="18"/>
              </w:rPr>
              <w:pict>
                <v:shape id="_x0000_i1059" o:spt="75" type="#_x0000_t75" style="height:20.4pt;width:16.2pt;" filled="f" o:preferrelative="t" stroked="f" coordsize="21600,21600">
                  <v:path/>
                  <v:fill on="f" focussize="0,0"/>
                  <v:stroke on="f" joinstyle="miter"/>
                  <v:imagedata r:id="rId29" o:title=""/>
                  <o:lock v:ext="edit" aspectratio="t"/>
                  <w10:wrap type="none"/>
                  <w10:anchorlock/>
                </v:shape>
              </w:pict>
            </w:r>
            <w:r>
              <w:rPr>
                <w:sz w:val="18"/>
                <w:szCs w:val="18"/>
              </w:rPr>
              <w:t>(60min)</w:t>
            </w:r>
          </w:p>
        </w:tc>
        <w:tc>
          <w:tcPr>
            <w:tcW w:w="1136" w:type="dxa"/>
            <w:vAlign w:val="center"/>
          </w:tcPr>
          <w:p>
            <w:pPr>
              <w:adjustRightInd w:val="0"/>
              <w:jc w:val="center"/>
              <w:rPr>
                <w:sz w:val="18"/>
                <w:szCs w:val="18"/>
              </w:rPr>
            </w:pPr>
            <w:r>
              <w:rPr>
                <w:sz w:val="18"/>
                <w:szCs w:val="18"/>
              </w:rPr>
              <w:t>——</w:t>
            </w:r>
          </w:p>
        </w:tc>
        <w:tc>
          <w:tcPr>
            <w:tcW w:w="1275" w:type="dxa"/>
            <w:vAlign w:val="center"/>
          </w:tcPr>
          <w:p>
            <w:pPr>
              <w:adjustRightInd w:val="0"/>
              <w:jc w:val="center"/>
              <w:rPr>
                <w:sz w:val="18"/>
                <w:szCs w:val="18"/>
              </w:rPr>
            </w:pPr>
            <w:r>
              <w:rPr>
                <w:sz w:val="18"/>
                <w:szCs w:val="18"/>
              </w:rPr>
              <w:t>——</w:t>
            </w:r>
          </w:p>
        </w:tc>
        <w:tc>
          <w:tcPr>
            <w:tcW w:w="1133"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91" w:type="dxa"/>
            <w:vAlign w:val="center"/>
          </w:tcPr>
          <w:p>
            <w:pPr>
              <w:adjustRightInd w:val="0"/>
              <w:jc w:val="center"/>
              <w:rPr>
                <w:sz w:val="18"/>
                <w:szCs w:val="18"/>
              </w:rPr>
            </w:pPr>
            <w:r>
              <w:rPr>
                <w:sz w:val="18"/>
                <w:szCs w:val="18"/>
              </w:rPr>
              <w:t>——</w:t>
            </w:r>
          </w:p>
        </w:tc>
        <w:tc>
          <w:tcPr>
            <w:tcW w:w="1136" w:type="dxa"/>
            <w:vAlign w:val="center"/>
          </w:tcPr>
          <w:p>
            <w:pPr>
              <w:adjustRightInd w:val="0"/>
              <w:jc w:val="center"/>
              <w:rPr>
                <w:sz w:val="18"/>
                <w:szCs w:val="18"/>
              </w:rPr>
            </w:pPr>
            <w:r>
              <w:rPr>
                <w:sz w:val="18"/>
                <w:szCs w:val="18"/>
              </w:rPr>
              <w:t>——</w:t>
            </w:r>
          </w:p>
        </w:tc>
        <w:tc>
          <w:tcPr>
            <w:tcW w:w="911" w:type="dxa"/>
            <w:vAlign w:val="center"/>
          </w:tcPr>
          <w:p>
            <w:pPr>
              <w:adjustRightInd w:val="0"/>
              <w:jc w:val="center"/>
              <w:rPr>
                <w:sz w:val="18"/>
                <w:szCs w:val="18"/>
              </w:rPr>
            </w:pPr>
            <w:r>
              <w:rPr>
                <w:sz w:val="18"/>
                <w:szCs w:val="18"/>
              </w:rPr>
              <w:t>必选</w:t>
            </w:r>
          </w:p>
        </w:tc>
        <w:tc>
          <w:tcPr>
            <w:tcW w:w="1295" w:type="dxa"/>
            <w:vAlign w:val="center"/>
          </w:tcPr>
          <w:p>
            <w:pPr>
              <w:adjustRightInd w:val="0"/>
              <w:jc w:val="center"/>
              <w:rPr>
                <w:sz w:val="18"/>
                <w:szCs w:val="18"/>
              </w:rPr>
            </w:pPr>
            <w:r>
              <w:rPr>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4786" w:type="dxa"/>
            <w:gridSpan w:val="11"/>
            <w:vAlign w:val="center"/>
          </w:tcPr>
          <w:p>
            <w:pPr>
              <w:widowControl/>
              <w:jc w:val="left"/>
              <w:rPr>
                <w:color w:val="000000"/>
                <w:kern w:val="0"/>
                <w:sz w:val="22"/>
                <w:szCs w:val="22"/>
              </w:rPr>
            </w:pPr>
            <w:r>
              <w:rPr>
                <w:color w:val="000000"/>
                <w:kern w:val="0"/>
                <w:sz w:val="22"/>
                <w:szCs w:val="22"/>
              </w:rPr>
              <w:t>备注：</w:t>
            </w:r>
          </w:p>
          <w:p>
            <w:pPr>
              <w:widowControl/>
              <w:jc w:val="left"/>
              <w:rPr>
                <w:color w:val="000000"/>
                <w:kern w:val="0"/>
                <w:sz w:val="22"/>
                <w:szCs w:val="22"/>
              </w:rPr>
            </w:pPr>
            <w:r>
              <w:rPr>
                <w:color w:val="000000"/>
                <w:kern w:val="0"/>
                <w:sz w:val="22"/>
                <w:szCs w:val="22"/>
              </w:rPr>
              <w:pict>
                <v:shape id="_x0000_i1060" o:spt="75" type="#_x0000_t75" style="height:16.2pt;width:8.4pt;" filled="f" o:preferrelative="t" stroked="f" coordsize="21600,21600">
                  <v:path/>
                  <v:fill on="f" focussize="0,0"/>
                  <v:stroke on="f" joinstyle="miter"/>
                  <v:imagedata r:id="rId20" o:title=""/>
                  <o:lock v:ext="edit" aspectratio="t"/>
                  <w10:wrap type="none"/>
                  <w10:anchorlock/>
                </v:shape>
              </w:pict>
            </w:r>
            <w:r>
              <w:rPr>
                <w:sz w:val="18"/>
                <w:szCs w:val="18"/>
              </w:rPr>
              <w:t>除非另有规定，试验应在环境温度下进行</w:t>
            </w:r>
          </w:p>
          <w:p>
            <w:pPr>
              <w:widowControl/>
              <w:jc w:val="left"/>
              <w:rPr>
                <w:sz w:val="18"/>
                <w:szCs w:val="18"/>
              </w:rPr>
            </w:pPr>
            <w:r>
              <w:rPr>
                <w:color w:val="000000"/>
                <w:kern w:val="0"/>
                <w:sz w:val="22"/>
                <w:szCs w:val="22"/>
              </w:rPr>
              <w:pict>
                <v:shape id="_x0000_i1061" o:spt="75" type="#_x0000_t75" style="height:16.2pt;width:8.4pt;" filled="f" o:preferrelative="t" stroked="f" coordsize="21600,21600">
                  <v:path/>
                  <v:fill on="f" focussize="0,0"/>
                  <v:stroke on="f" joinstyle="miter"/>
                  <v:imagedata r:id="rId30" o:title=""/>
                  <o:lock v:ext="edit" aspectratio="t"/>
                  <w10:wrap type="none"/>
                  <w10:anchorlock/>
                </v:shape>
              </w:pict>
            </w:r>
            <w:r>
              <w:rPr>
                <w:sz w:val="18"/>
                <w:szCs w:val="18"/>
              </w:rPr>
              <w:pict>
                <v:shape id="_x0000_i1062" o:spt="75" type="#_x0000_t75" style="height:20.4pt;width:13.8pt;" filled="f" o:preferrelative="t" stroked="f" coordsize="21600,21600">
                  <v:path/>
                  <v:fill on="f" focussize="0,0"/>
                  <v:stroke on="f" joinstyle="miter"/>
                  <v:imagedata r:id="rId31" o:title=""/>
                  <o:lock v:ext="edit" aspectratio="t"/>
                  <w10:wrap type="none"/>
                  <w10:anchorlock/>
                </v:shape>
              </w:pict>
            </w:r>
            <w:r>
              <w:rPr>
                <w:sz w:val="18"/>
                <w:szCs w:val="18"/>
              </w:rPr>
              <w:t>温度为电缆正常运行时最高导体温度以上（5-10）</w:t>
            </w:r>
            <w:r>
              <w:rPr>
                <w:rFonts w:hint="eastAsia"/>
                <w:sz w:val="18"/>
                <w:szCs w:val="18"/>
              </w:rPr>
              <w:t>℃</w:t>
            </w:r>
          </w:p>
          <w:p>
            <w:pPr>
              <w:widowControl/>
              <w:jc w:val="left"/>
              <w:rPr>
                <w:color w:val="000000"/>
                <w:kern w:val="0"/>
                <w:sz w:val="22"/>
                <w:szCs w:val="22"/>
              </w:rPr>
            </w:pPr>
            <w:r>
              <w:rPr>
                <w:color w:val="000000"/>
                <w:kern w:val="0"/>
                <w:sz w:val="22"/>
                <w:szCs w:val="22"/>
              </w:rPr>
              <w:pict>
                <v:shape id="_x0000_i1063" o:spt="75" type="#_x0000_t75" style="height:16.2pt;width:5.4pt;" filled="f" o:preferrelative="t" stroked="f" coordsize="21600,21600">
                  <v:path/>
                  <v:fill on="f" focussize="0,0"/>
                  <v:stroke on="f" joinstyle="miter"/>
                  <v:imagedata r:id="rId32" o:title=""/>
                  <o:lock v:ext="edit" aspectratio="t"/>
                  <w10:wrap type="none"/>
                  <w10:anchorlock/>
                </v:shape>
              </w:pict>
            </w:r>
            <w:r>
              <w:rPr>
                <w:sz w:val="18"/>
                <w:szCs w:val="18"/>
              </w:rPr>
              <w:t>过渡接头（挤包绝缘电缆到挤包绝缘电缆）试验参数是按额定值较低的电缆来确定的</w:t>
            </w:r>
          </w:p>
          <w:p>
            <w:pPr>
              <w:widowControl/>
              <w:jc w:val="left"/>
              <w:rPr>
                <w:color w:val="000000"/>
                <w:kern w:val="0"/>
                <w:sz w:val="22"/>
                <w:szCs w:val="22"/>
              </w:rPr>
            </w:pPr>
            <w:r>
              <w:rPr>
                <w:color w:val="000000"/>
                <w:kern w:val="0"/>
                <w:sz w:val="22"/>
                <w:szCs w:val="22"/>
              </w:rPr>
              <w:pict>
                <v:shape id="_x0000_i1064" o:spt="75" type="#_x0000_t75" style="height:16.2pt;width:8.4pt;" filled="f" o:preferrelative="t" stroked="f" coordsize="21600,21600">
                  <v:path/>
                  <v:fill on="f" focussize="0,0"/>
                  <v:stroke on="f" joinstyle="miter"/>
                  <v:imagedata r:id="rId33" o:title=""/>
                  <o:lock v:ext="edit" aspectratio="t"/>
                  <w10:wrap type="none"/>
                  <w10:anchorlock/>
                </v:shape>
              </w:pict>
            </w:r>
            <w:r>
              <w:rPr>
                <w:sz w:val="18"/>
                <w:szCs w:val="18"/>
              </w:rPr>
              <w:t>每个负荷循环周期为8h，电缆导体稳定在规定的</w:t>
            </w:r>
            <w:r>
              <w:rPr>
                <w:sz w:val="18"/>
                <w:szCs w:val="18"/>
              </w:rPr>
              <w:pict>
                <v:shape id="_x0000_i1065" o:spt="75" type="#_x0000_t75" style="height:20.4pt;width:13.8pt;" filled="f" o:preferrelative="t" stroked="f" coordsize="21600,21600">
                  <v:path/>
                  <v:fill on="f" focussize="0,0"/>
                  <v:stroke on="f" joinstyle="miter"/>
                  <v:imagedata r:id="rId31" o:title=""/>
                  <o:lock v:ext="edit" aspectratio="t"/>
                  <w10:wrap type="none"/>
                  <w10:anchorlock/>
                </v:shape>
              </w:pict>
            </w:r>
            <w:r>
              <w:rPr>
                <w:sz w:val="18"/>
                <w:szCs w:val="18"/>
              </w:rPr>
              <w:t>温度下至少2h，冷却时间至少3h</w:t>
            </w:r>
          </w:p>
          <w:p>
            <w:pPr>
              <w:widowControl/>
              <w:jc w:val="left"/>
              <w:rPr>
                <w:sz w:val="18"/>
                <w:szCs w:val="18"/>
              </w:rPr>
            </w:pPr>
            <w:r>
              <w:rPr>
                <w:color w:val="000000"/>
                <w:kern w:val="0"/>
                <w:sz w:val="22"/>
                <w:szCs w:val="22"/>
              </w:rPr>
              <w:pict>
                <v:shape id="_x0000_i1066" o:spt="75" type="#_x0000_t75" style="height:16.2pt;width:5.4pt;" filled="f" o:preferrelative="t" stroked="f" coordsize="21600,21600">
                  <v:path/>
                  <v:fill on="f" focussize="0,0"/>
                  <v:stroke on="f" joinstyle="miter"/>
                  <v:imagedata r:id="rId34" o:title=""/>
                  <o:lock v:ext="edit" aspectratio="t"/>
                  <w10:wrap type="none"/>
                  <w10:anchorlock/>
                </v:shape>
              </w:pict>
            </w:r>
            <w:r>
              <w:rPr>
                <w:sz w:val="18"/>
                <w:szCs w:val="18"/>
              </w:rPr>
              <w:t>在加热期结束时进行</w:t>
            </w:r>
          </w:p>
          <w:p>
            <w:pPr>
              <w:widowControl/>
              <w:jc w:val="left"/>
              <w:rPr>
                <w:sz w:val="18"/>
                <w:szCs w:val="18"/>
              </w:rPr>
            </w:pPr>
            <w:r>
              <w:rPr>
                <w:color w:val="000000"/>
                <w:kern w:val="0"/>
                <w:sz w:val="22"/>
                <w:szCs w:val="22"/>
              </w:rPr>
              <w:pict>
                <v:shape id="_x0000_i1067" o:spt="75" type="#_x0000_t75" style="height:16.2pt;width:9.6pt;" filled="f" o:preferrelative="t" stroked="f" coordsize="21600,21600">
                  <v:path/>
                  <v:fill on="f" focussize="0,0"/>
                  <v:stroke on="f" joinstyle="miter"/>
                  <v:imagedata r:id="rId35" o:title=""/>
                  <o:lock v:ext="edit" aspectratio="t"/>
                  <w10:wrap type="none"/>
                  <w10:anchorlock/>
                </v:shape>
              </w:pict>
            </w:r>
            <w:r>
              <w:rPr>
                <w:sz w:val="18"/>
                <w:szCs w:val="18"/>
              </w:rPr>
              <w:t>短路热稳定试验可以与短路动稳定试验结合进行</w:t>
            </w:r>
          </w:p>
          <w:p>
            <w:pPr>
              <w:widowControl/>
              <w:jc w:val="left"/>
              <w:rPr>
                <w:color w:val="000000"/>
                <w:kern w:val="0"/>
                <w:sz w:val="22"/>
                <w:szCs w:val="22"/>
              </w:rPr>
            </w:pPr>
            <w:r>
              <w:rPr>
                <w:color w:val="000000"/>
                <w:kern w:val="0"/>
                <w:sz w:val="22"/>
                <w:szCs w:val="22"/>
              </w:rPr>
              <w:pict>
                <v:shape id="_x0000_i1068" o:spt="75" type="#_x0000_t75" style="height:16.2pt;width:9.6pt;" filled="f" o:preferrelative="t" stroked="f" coordsize="21600,21600">
                  <v:path/>
                  <v:fill on="f" focussize="0,0"/>
                  <v:stroke on="f" joinstyle="miter"/>
                  <v:imagedata r:id="rId36" o:title=""/>
                  <o:lock v:ext="edit" aspectratio="t"/>
                  <w10:wrap type="none"/>
                  <w10:anchorlock/>
                </v:shape>
              </w:pict>
            </w:r>
            <w:r>
              <w:rPr>
                <w:sz w:val="18"/>
                <w:szCs w:val="18"/>
              </w:rPr>
              <w:t>只有当峰值电流</w:t>
            </w:r>
            <w:r>
              <w:rPr>
                <w:sz w:val="18"/>
                <w:szCs w:val="18"/>
              </w:rPr>
              <w:pict>
                <v:shape id="_x0000_i1069" o:spt="75" type="#_x0000_t75" style="height:20.4pt;width:15pt;" filled="f" o:preferrelative="t" stroked="f" coordsize="21600,21600">
                  <v:path/>
                  <v:fill on="f" focussize="0,0"/>
                  <v:stroke on="f" joinstyle="miter"/>
                  <v:imagedata r:id="rId37" o:title=""/>
                  <o:lock v:ext="edit" aspectratio="t"/>
                  <w10:wrap type="none"/>
                  <w10:anchorlock/>
                </v:shape>
              </w:pict>
            </w:r>
            <w:r>
              <w:rPr>
                <w:sz w:val="18"/>
                <w:szCs w:val="18"/>
              </w:rPr>
              <w:t>&gt;80kA的单芯电缆和</w:t>
            </w:r>
            <w:r>
              <w:rPr>
                <w:sz w:val="18"/>
                <w:szCs w:val="18"/>
              </w:rPr>
              <w:pict>
                <v:shape id="_x0000_i1070" o:spt="75" type="#_x0000_t75" style="height:20.4pt;width:15pt;" filled="f" o:preferrelative="t" stroked="f" coordsize="21600,21600">
                  <v:path/>
                  <v:fill on="f" focussize="0,0"/>
                  <v:stroke on="f" joinstyle="miter"/>
                  <v:imagedata r:id="rId37" o:title=""/>
                  <o:lock v:ext="edit" aspectratio="t"/>
                  <w10:wrap type="none"/>
                  <w10:anchorlock/>
                </v:shape>
              </w:pict>
            </w:r>
            <w:r>
              <w:rPr>
                <w:sz w:val="18"/>
                <w:szCs w:val="18"/>
              </w:rPr>
              <w:t>&gt;63kA的三芯电缆，其终端才要求进行短路动稳定试验。</w:t>
            </w:r>
          </w:p>
        </w:tc>
      </w:tr>
    </w:tbl>
    <w:p>
      <w:pPr>
        <w:pStyle w:val="71"/>
        <w:adjustRightInd w:val="0"/>
        <w:spacing w:line="360" w:lineRule="auto"/>
        <w:ind w:firstLine="480"/>
        <w:rPr>
          <w:rFonts w:ascii="Times New Roman" w:hAnsi="Times New Roman" w:eastAsia="宋体"/>
          <w:sz w:val="24"/>
          <w:szCs w:val="24"/>
        </w:rPr>
      </w:pPr>
    </w:p>
    <w:p>
      <w:pPr>
        <w:pStyle w:val="71"/>
        <w:adjustRightInd w:val="0"/>
        <w:spacing w:line="360" w:lineRule="auto"/>
        <w:ind w:firstLine="480"/>
        <w:rPr>
          <w:rFonts w:ascii="Times New Roman" w:hAnsi="Times New Roman" w:eastAsia="宋体"/>
          <w:sz w:val="24"/>
          <w:szCs w:val="24"/>
        </w:rPr>
        <w:sectPr>
          <w:pgSz w:w="16838" w:h="11906" w:orient="landscape"/>
          <w:pgMar w:top="1134" w:right="1134" w:bottom="1134" w:left="1134" w:header="851" w:footer="510" w:gutter="0"/>
          <w:cols w:space="720" w:num="1"/>
          <w:docGrid w:type="linesAndChars" w:linePitch="312" w:charSpace="0"/>
        </w:sectPr>
      </w:pPr>
    </w:p>
    <w:p>
      <w:pPr>
        <w:pStyle w:val="188"/>
        <w:rPr>
          <w:rFonts w:ascii="Times New Roman" w:cs="Times New Roman"/>
          <w:b/>
        </w:rPr>
      </w:pPr>
      <w:bookmarkStart w:id="112" w:name="_Toc18510"/>
      <w:r>
        <w:rPr>
          <w:rFonts w:ascii="Times New Roman" w:cs="Times New Roman"/>
          <w:b/>
        </w:rPr>
        <w:t>6</w:t>
      </w:r>
      <w:bookmarkStart w:id="113" w:name="_Toc285718280"/>
      <w:bookmarkEnd w:id="113"/>
      <w:bookmarkStart w:id="114" w:name="_Toc285717702"/>
      <w:bookmarkEnd w:id="114"/>
      <w:bookmarkStart w:id="115" w:name="_Toc417246355"/>
      <w:bookmarkStart w:id="116" w:name="_Toc305941239"/>
      <w:bookmarkStart w:id="117" w:name="_Toc305941528"/>
      <w:bookmarkStart w:id="118" w:name="_Toc285718281"/>
      <w:r>
        <w:rPr>
          <w:rFonts w:ascii="Times New Roman" w:cs="Times New Roman"/>
          <w:b/>
        </w:rPr>
        <w:t>.2</w:t>
      </w:r>
      <w:bookmarkEnd w:id="115"/>
      <w:bookmarkEnd w:id="116"/>
      <w:bookmarkEnd w:id="117"/>
      <w:bookmarkEnd w:id="118"/>
      <w:bookmarkStart w:id="119" w:name="_Toc417246356"/>
      <w:r>
        <w:rPr>
          <w:rFonts w:hint="eastAsia" w:ascii="Times New Roman" w:cs="Times New Roman"/>
          <w:b/>
        </w:rPr>
        <w:t xml:space="preserve"> </w:t>
      </w:r>
      <w:r>
        <w:rPr>
          <w:rFonts w:hint="eastAsia" w:ascii="Times New Roman" w:cs="Times New Roman"/>
        </w:rPr>
        <w:t>试验方法和要求</w:t>
      </w:r>
      <w:bookmarkEnd w:id="112"/>
    </w:p>
    <w:bookmarkEnd w:id="119"/>
    <w:p>
      <w:pPr>
        <w:pStyle w:val="190"/>
        <w:rPr>
          <w:rFonts w:hAnsi="Times New Roman" w:cs="Times New Roman"/>
          <w:b/>
        </w:rPr>
      </w:pPr>
      <w:r>
        <w:rPr>
          <w:rFonts w:hAnsi="Times New Roman" w:cs="Times New Roman"/>
          <w:b/>
        </w:rPr>
        <w:t>6.2.1</w:t>
      </w:r>
      <w:r>
        <w:rPr>
          <w:rFonts w:hint="eastAsia" w:hAnsi="Times New Roman" w:cs="Times New Roman"/>
          <w:b/>
        </w:rPr>
        <w:t xml:space="preserve"> </w:t>
      </w:r>
      <w:r>
        <w:rPr>
          <w:rFonts w:hint="eastAsia" w:ascii="黑体" w:hAnsi="黑体"/>
        </w:rPr>
        <w:t>交流耐压试验</w:t>
      </w:r>
    </w:p>
    <w:p>
      <w:pPr>
        <w:autoSpaceDE w:val="0"/>
        <w:autoSpaceDN w:val="0"/>
        <w:adjustRightInd w:val="0"/>
        <w:spacing w:line="360" w:lineRule="auto"/>
        <w:jc w:val="left"/>
        <w:rPr>
          <w:rFonts w:ascii="Calibri" w:hAnsi="Calibri"/>
          <w:kern w:val="0"/>
          <w:sz w:val="24"/>
          <w:szCs w:val="20"/>
        </w:rPr>
      </w:pPr>
      <w:r>
        <w:rPr>
          <w:b/>
          <w:szCs w:val="20"/>
        </w:rPr>
        <w:t>6.2.1.1</w:t>
      </w:r>
      <w:r>
        <w:rPr>
          <w:rFonts w:hint="eastAsia"/>
          <w:b/>
          <w:szCs w:val="20"/>
        </w:rPr>
        <w:t xml:space="preserve"> </w:t>
      </w:r>
      <w:r>
        <w:rPr>
          <w:rFonts w:hint="eastAsia" w:ascii="Calibri" w:hAnsi="Calibri"/>
          <w:kern w:val="0"/>
          <w:szCs w:val="21"/>
        </w:rPr>
        <w:t>干态试验</w:t>
      </w:r>
    </w:p>
    <w:p>
      <w:pPr>
        <w:spacing w:line="360" w:lineRule="auto"/>
        <w:ind w:firstLine="420" w:firstLineChars="200"/>
        <w:rPr>
          <w:color w:val="000000"/>
        </w:rPr>
      </w:pPr>
      <w:r>
        <w:rPr>
          <w:rFonts w:hint="eastAsia"/>
          <w:color w:val="000000"/>
        </w:rPr>
        <w:t>附件组件应与所有相关的金属制件和配件一起装配。施加试验电压前附件应保持清洁和干燥。除非另有规定，试验应在环境温度下进行，应按</w:t>
      </w:r>
      <w:r>
        <w:rPr>
          <w:color w:val="000000"/>
        </w:rPr>
        <w:t>GB/T 16927.1-2013</w:t>
      </w:r>
      <w:r>
        <w:rPr>
          <w:rFonts w:hint="eastAsia"/>
          <w:color w:val="000000"/>
        </w:rPr>
        <w:t>第</w:t>
      </w:r>
      <w:r>
        <w:rPr>
          <w:color w:val="000000"/>
        </w:rPr>
        <w:t xml:space="preserve"> 6</w:t>
      </w:r>
      <w:r>
        <w:rPr>
          <w:rFonts w:hint="eastAsia"/>
          <w:color w:val="000000"/>
        </w:rPr>
        <w:t>章规定的程序施加电压</w:t>
      </w:r>
      <w:r>
        <w:rPr>
          <w:color w:val="000000"/>
        </w:rPr>
        <w:t>。</w:t>
      </w:r>
    </w:p>
    <w:p>
      <w:pPr>
        <w:autoSpaceDE w:val="0"/>
        <w:autoSpaceDN w:val="0"/>
        <w:adjustRightInd w:val="0"/>
        <w:spacing w:line="360" w:lineRule="auto"/>
        <w:jc w:val="left"/>
        <w:rPr>
          <w:rFonts w:ascii="Calibri" w:hAnsi="Calibri"/>
          <w:kern w:val="0"/>
          <w:sz w:val="24"/>
          <w:szCs w:val="20"/>
        </w:rPr>
      </w:pPr>
      <w:r>
        <w:rPr>
          <w:b/>
          <w:szCs w:val="20"/>
        </w:rPr>
        <w:t>6.2.1.2</w:t>
      </w:r>
      <w:r>
        <w:rPr>
          <w:rFonts w:hint="eastAsia"/>
          <w:b/>
          <w:szCs w:val="20"/>
        </w:rPr>
        <w:t xml:space="preserve"> </w:t>
      </w:r>
      <w:r>
        <w:rPr>
          <w:rFonts w:hint="eastAsia" w:ascii="Calibri" w:hAnsi="Calibri"/>
          <w:kern w:val="0"/>
          <w:szCs w:val="21"/>
        </w:rPr>
        <w:t>湿态试验</w:t>
      </w:r>
    </w:p>
    <w:p>
      <w:pPr>
        <w:spacing w:line="360" w:lineRule="auto"/>
        <w:ind w:firstLine="420" w:firstLineChars="200"/>
        <w:rPr>
          <w:color w:val="000000"/>
        </w:rPr>
      </w:pPr>
      <w:r>
        <w:rPr>
          <w:rFonts w:hint="eastAsia"/>
          <w:color w:val="000000"/>
        </w:rPr>
        <w:t>除按运行状态和制造方说明书特定的安装方位和相对间距外，应将终端安装在垂直位置，湿态试验应如</w:t>
      </w:r>
      <w:r>
        <w:rPr>
          <w:color w:val="000000"/>
        </w:rPr>
        <w:t>GB/T 16927.1 -2013</w:t>
      </w:r>
      <w:r>
        <w:rPr>
          <w:rFonts w:hint="eastAsia"/>
          <w:color w:val="000000"/>
        </w:rPr>
        <w:t>所述，并在环境温度下进行。</w:t>
      </w:r>
    </w:p>
    <w:p>
      <w:pPr>
        <w:pStyle w:val="190"/>
        <w:rPr>
          <w:rFonts w:ascii="黑体" w:hAnsi="黑体"/>
        </w:rPr>
      </w:pPr>
      <w:r>
        <w:rPr>
          <w:rFonts w:hAnsi="Times New Roman" w:cs="Times New Roman"/>
          <w:b/>
        </w:rPr>
        <w:t>6.2.2</w:t>
      </w:r>
      <w:r>
        <w:rPr>
          <w:rFonts w:hint="eastAsia" w:hAnsi="Times New Roman" w:cs="Times New Roman"/>
          <w:b/>
        </w:rPr>
        <w:t xml:space="preserve"> </w:t>
      </w:r>
      <w:r>
        <w:rPr>
          <w:rFonts w:hint="eastAsia" w:ascii="黑体" w:hAnsi="黑体"/>
        </w:rPr>
        <w:t>直流耐压试验</w:t>
      </w:r>
    </w:p>
    <w:p>
      <w:pPr>
        <w:spacing w:line="360" w:lineRule="auto"/>
        <w:ind w:firstLine="420" w:firstLineChars="200"/>
        <w:rPr>
          <w:color w:val="000000"/>
        </w:rPr>
      </w:pPr>
      <w:r>
        <w:rPr>
          <w:rFonts w:hint="eastAsia"/>
          <w:color w:val="000000"/>
        </w:rPr>
        <w:t>附件组件应与所有相关的金属制件和配件一起装配。施加试验电压前附件应保持清洁和于燥。应对电缆导体施加负极性电压，试验应在环境温度下进行，应按</w:t>
      </w:r>
      <w:r>
        <w:rPr>
          <w:color w:val="000000"/>
        </w:rPr>
        <w:t xml:space="preserve">GB/T 16927.1-2013 </w:t>
      </w:r>
      <w:r>
        <w:rPr>
          <w:rFonts w:hint="eastAsia"/>
          <w:color w:val="000000"/>
        </w:rPr>
        <w:t>规定的程序施加电压。</w:t>
      </w:r>
    </w:p>
    <w:p>
      <w:pPr>
        <w:pStyle w:val="190"/>
        <w:rPr>
          <w:rFonts w:hAnsi="Times New Roman" w:cs="Times New Roman"/>
          <w:b/>
        </w:rPr>
      </w:pPr>
      <w:r>
        <w:rPr>
          <w:rFonts w:hAnsi="Times New Roman" w:cs="Times New Roman"/>
          <w:b/>
        </w:rPr>
        <w:t>6.2.3</w:t>
      </w:r>
      <w:r>
        <w:rPr>
          <w:rFonts w:hint="eastAsia" w:hAnsi="Times New Roman" w:cs="Times New Roman"/>
          <w:b/>
        </w:rPr>
        <w:t xml:space="preserve"> </w:t>
      </w:r>
      <w:r>
        <w:rPr>
          <w:rFonts w:hint="eastAsia" w:ascii="黑体" w:hAnsi="黑体"/>
        </w:rPr>
        <w:t>冲击电压试验</w:t>
      </w:r>
    </w:p>
    <w:p>
      <w:pPr>
        <w:spacing w:line="360" w:lineRule="auto"/>
        <w:ind w:firstLine="420" w:firstLineChars="200"/>
        <w:rPr>
          <w:color w:val="000000"/>
        </w:rPr>
      </w:pPr>
      <w:r>
        <w:rPr>
          <w:rFonts w:hint="eastAsia"/>
          <w:color w:val="000000"/>
        </w:rPr>
        <w:t>应参照相关标准进行包括金属罩壳和终端盒的试验安装的准备，对于三相电缆的附件</w:t>
      </w:r>
      <w:r>
        <w:rPr>
          <w:color w:val="000000"/>
        </w:rPr>
        <w:t>(</w:t>
      </w:r>
      <w:r>
        <w:rPr>
          <w:rFonts w:hint="eastAsia"/>
          <w:color w:val="000000"/>
        </w:rPr>
        <w:t>例如在一个金属罩壳内有三个单芯终端</w:t>
      </w:r>
      <w:r>
        <w:rPr>
          <w:color w:val="000000"/>
        </w:rPr>
        <w:t>)</w:t>
      </w:r>
      <w:r>
        <w:rPr>
          <w:rFonts w:hint="eastAsia"/>
          <w:color w:val="000000"/>
        </w:rPr>
        <w:t>，一次试验一相，其他两相接地。应按</w:t>
      </w:r>
      <w:r>
        <w:rPr>
          <w:color w:val="000000"/>
        </w:rPr>
        <w:t>GB/T 3048.13</w:t>
      </w:r>
      <w:r>
        <w:rPr>
          <w:rFonts w:hint="eastAsia"/>
          <w:color w:val="000000"/>
        </w:rPr>
        <w:t>进行试验。</w:t>
      </w:r>
    </w:p>
    <w:p>
      <w:pPr>
        <w:pStyle w:val="190"/>
        <w:rPr>
          <w:rFonts w:ascii="黑体" w:hAnsi="黑体"/>
        </w:rPr>
      </w:pPr>
      <w:r>
        <w:rPr>
          <w:rFonts w:hAnsi="Times New Roman" w:cs="Times New Roman"/>
          <w:b/>
        </w:rPr>
        <w:t>6.2.4</w:t>
      </w:r>
      <w:r>
        <w:rPr>
          <w:rFonts w:hint="eastAsia" w:hAnsi="Times New Roman" w:cs="Times New Roman"/>
          <w:b/>
        </w:rPr>
        <w:t xml:space="preserve"> </w:t>
      </w:r>
      <w:r>
        <w:rPr>
          <w:rFonts w:hint="eastAsia" w:ascii="黑体" w:hAnsi="黑体"/>
        </w:rPr>
        <w:t>局部放电试验</w:t>
      </w:r>
    </w:p>
    <w:p>
      <w:pPr>
        <w:spacing w:line="360" w:lineRule="auto"/>
        <w:ind w:firstLine="420" w:firstLineChars="200"/>
        <w:rPr>
          <w:color w:val="000000"/>
        </w:rPr>
      </w:pPr>
      <w:r>
        <w:rPr>
          <w:rFonts w:hint="eastAsia"/>
          <w:color w:val="000000"/>
        </w:rPr>
        <w:t>应按</w:t>
      </w:r>
      <w:r>
        <w:rPr>
          <w:color w:val="000000"/>
        </w:rPr>
        <w:t xml:space="preserve"> GB/T 7354</w:t>
      </w:r>
      <w:r>
        <w:rPr>
          <w:rFonts w:hint="eastAsia"/>
          <w:color w:val="000000"/>
        </w:rPr>
        <w:t>和</w:t>
      </w:r>
      <w:r>
        <w:rPr>
          <w:color w:val="000000"/>
        </w:rPr>
        <w:t>IEC 60885-2</w:t>
      </w:r>
      <w:r>
        <w:rPr>
          <w:rFonts w:hint="eastAsia"/>
          <w:color w:val="000000"/>
        </w:rPr>
        <w:t>的规定进行本项试验，在相关标准给定的试验电压下测量局部放电。</w:t>
      </w:r>
    </w:p>
    <w:p>
      <w:pPr>
        <w:pStyle w:val="190"/>
        <w:rPr>
          <w:rFonts w:ascii="黑体" w:hAnsi="黑体"/>
        </w:rPr>
      </w:pPr>
      <w:r>
        <w:rPr>
          <w:rFonts w:hAnsi="Times New Roman" w:cs="Times New Roman"/>
          <w:b/>
        </w:rPr>
        <w:t>6.2.5</w:t>
      </w:r>
      <w:r>
        <w:rPr>
          <w:rFonts w:hint="eastAsia" w:hAnsi="Times New Roman" w:cs="Times New Roman"/>
          <w:b/>
        </w:rPr>
        <w:t xml:space="preserve"> </w:t>
      </w:r>
      <w:r>
        <w:rPr>
          <w:rFonts w:hint="eastAsia" w:ascii="黑体" w:hAnsi="黑体"/>
        </w:rPr>
        <w:t>热循环试验</w:t>
      </w:r>
    </w:p>
    <w:p>
      <w:pPr>
        <w:spacing w:line="360" w:lineRule="auto"/>
        <w:ind w:firstLine="420" w:firstLineChars="200"/>
        <w:rPr>
          <w:color w:val="000000"/>
        </w:rPr>
      </w:pPr>
      <w:r>
        <w:rPr>
          <w:rFonts w:hint="eastAsia"/>
          <w:color w:val="000000"/>
        </w:rPr>
        <w:t>在空气中或水中的试验布置应如</w:t>
      </w:r>
      <w:r>
        <w:rPr>
          <w:color w:val="000000"/>
        </w:rPr>
        <w:t>GB/T 18889-2002</w:t>
      </w:r>
      <w:r>
        <w:rPr>
          <w:rFonts w:hint="eastAsia"/>
          <w:color w:val="000000"/>
        </w:rPr>
        <w:t>第</w:t>
      </w:r>
      <w:r>
        <w:rPr>
          <w:color w:val="000000"/>
        </w:rPr>
        <w:t>8</w:t>
      </w:r>
      <w:r>
        <w:rPr>
          <w:rFonts w:hint="eastAsia"/>
          <w:color w:val="000000"/>
        </w:rPr>
        <w:t>章规定。将在水中作热循环试验的接头或可分离连接器安放在水箱中</w:t>
      </w:r>
      <w:r>
        <w:rPr>
          <w:color w:val="000000"/>
        </w:rPr>
        <w:t>。</w:t>
      </w:r>
      <w:r>
        <w:rPr>
          <w:rFonts w:hint="eastAsia"/>
          <w:color w:val="000000"/>
        </w:rPr>
        <w:t>应使水面高出所有被试附件</w:t>
      </w:r>
      <w:r>
        <w:rPr>
          <w:color w:val="000000"/>
        </w:rPr>
        <w:t>1m，</w:t>
      </w:r>
      <w:r>
        <w:rPr>
          <w:rFonts w:hint="eastAsia"/>
          <w:color w:val="000000"/>
        </w:rPr>
        <w:t>水温应为环境温度。对带密闭的金属外壳，并搪铅或焊接到电缆金属护套</w:t>
      </w:r>
      <w:r>
        <w:rPr>
          <w:color w:val="000000"/>
        </w:rPr>
        <w:t>上</w:t>
      </w:r>
      <w:r>
        <w:rPr>
          <w:rFonts w:hint="eastAsia"/>
          <w:color w:val="000000"/>
        </w:rPr>
        <w:t>的接头，不必作浸水试验。</w:t>
      </w:r>
    </w:p>
    <w:p>
      <w:pPr>
        <w:spacing w:line="360" w:lineRule="auto"/>
        <w:ind w:firstLine="420" w:firstLineChars="200"/>
        <w:rPr>
          <w:color w:val="000000"/>
        </w:rPr>
      </w:pPr>
      <w:r>
        <w:rPr>
          <w:rFonts w:hint="eastAsia"/>
          <w:color w:val="000000"/>
        </w:rPr>
        <w:t>应按</w:t>
      </w:r>
      <w:r>
        <w:rPr>
          <w:color w:val="000000"/>
        </w:rPr>
        <w:t>GB/T 18889-2002</w:t>
      </w:r>
      <w:r>
        <w:rPr>
          <w:rFonts w:hint="eastAsia"/>
          <w:color w:val="000000"/>
        </w:rPr>
        <w:t>第</w:t>
      </w:r>
      <w:r>
        <w:rPr>
          <w:color w:val="000000"/>
        </w:rPr>
        <w:t>8</w:t>
      </w:r>
      <w:r>
        <w:rPr>
          <w:rFonts w:hint="eastAsia"/>
          <w:color w:val="000000"/>
        </w:rPr>
        <w:t>章规定测量温度在空气中或水中进行的每个热循环，时间应为</w:t>
      </w:r>
      <w:r>
        <w:rPr>
          <w:color w:val="000000"/>
        </w:rPr>
        <w:t>8</w:t>
      </w:r>
      <w:r>
        <w:rPr>
          <w:rFonts w:hint="eastAsia"/>
          <w:color w:val="000000"/>
        </w:rPr>
        <w:t>小时，并在下列温度下至少稳定</w:t>
      </w:r>
      <w:r>
        <w:rPr>
          <w:color w:val="000000"/>
        </w:rPr>
        <w:t>2h，</w:t>
      </w:r>
      <w:r>
        <w:rPr>
          <w:rFonts w:hint="eastAsia"/>
          <w:color w:val="000000"/>
        </w:rPr>
        <w:t>对于挤包绝缘电缆，为电缆正常运行时导体最高温度以上</w:t>
      </w:r>
      <w:r>
        <w:rPr>
          <w:color w:val="000000"/>
        </w:rPr>
        <w:t>(5~10°0)</w:t>
      </w:r>
      <w:r>
        <w:rPr>
          <w:rFonts w:hint="eastAsia"/>
          <w:color w:val="000000"/>
        </w:rPr>
        <w:t>；对于纸绝缘电缆，为电缆正常运行时导休最高温度以上</w:t>
      </w:r>
      <w:r>
        <w:rPr>
          <w:color w:val="000000"/>
        </w:rPr>
        <w:t>(0~5于纸)</w:t>
      </w:r>
      <w:r>
        <w:rPr>
          <w:rFonts w:hint="eastAsia"/>
          <w:color w:val="000000"/>
        </w:rPr>
        <w:t>。然后自然冷却</w:t>
      </w:r>
      <w:r>
        <w:rPr>
          <w:color w:val="000000"/>
        </w:rPr>
        <w:t>至</w:t>
      </w:r>
      <w:r>
        <w:rPr>
          <w:rFonts w:hint="eastAsia"/>
          <w:color w:val="000000"/>
        </w:rPr>
        <w:t>少</w:t>
      </w:r>
      <w:r>
        <w:rPr>
          <w:color w:val="000000"/>
        </w:rPr>
        <w:t>3h</w:t>
      </w:r>
      <w:r>
        <w:rPr>
          <w:rFonts w:hint="eastAsia"/>
          <w:color w:val="000000"/>
        </w:rPr>
        <w:t>至与环境温度相差不超过</w:t>
      </w:r>
      <w:r>
        <w:rPr>
          <w:color w:val="000000"/>
        </w:rPr>
        <w:t>10环境</w:t>
      </w:r>
      <w:r>
        <w:rPr>
          <w:rFonts w:hint="eastAsia"/>
          <w:color w:val="000000"/>
        </w:rPr>
        <w:t>。</w:t>
      </w:r>
    </w:p>
    <w:p>
      <w:pPr>
        <w:spacing w:line="360" w:lineRule="auto"/>
        <w:ind w:firstLine="420" w:firstLineChars="200"/>
        <w:rPr>
          <w:color w:val="000000"/>
        </w:rPr>
      </w:pPr>
      <w:r>
        <w:rPr>
          <w:rFonts w:hint="eastAsia"/>
          <w:color w:val="000000"/>
        </w:rPr>
        <w:t>组合试样应经受相应标准中给定的规定次数热循环，并施加规定的电压。</w:t>
      </w:r>
    </w:p>
    <w:p>
      <w:pPr>
        <w:pStyle w:val="190"/>
        <w:rPr>
          <w:rFonts w:hAnsi="Times New Roman" w:cs="Times New Roman"/>
          <w:b/>
        </w:rPr>
      </w:pPr>
      <w:r>
        <w:rPr>
          <w:rFonts w:hAnsi="Times New Roman" w:cs="Times New Roman"/>
          <w:b/>
        </w:rPr>
        <w:t xml:space="preserve">6.2.6 </w:t>
      </w:r>
      <w:r>
        <w:rPr>
          <w:rFonts w:hint="eastAsia" w:ascii="黑体" w:hAnsi="黑体"/>
        </w:rPr>
        <w:t>短路热稳定试验</w:t>
      </w:r>
      <w:r>
        <w:rPr>
          <w:rFonts w:ascii="黑体" w:hAnsi="黑体"/>
        </w:rPr>
        <w:t>(</w:t>
      </w:r>
      <w:r>
        <w:rPr>
          <w:rFonts w:hint="eastAsia" w:ascii="黑体" w:hAnsi="黑体"/>
        </w:rPr>
        <w:t>屏蔽</w:t>
      </w:r>
      <w:r>
        <w:rPr>
          <w:rFonts w:ascii="黑体" w:hAnsi="黑体"/>
        </w:rPr>
        <w:t>)</w:t>
      </w:r>
    </w:p>
    <w:p>
      <w:pPr>
        <w:spacing w:line="360" w:lineRule="auto"/>
        <w:ind w:firstLine="420" w:firstLineChars="200"/>
        <w:rPr>
          <w:color w:val="000000"/>
        </w:rPr>
      </w:pPr>
      <w:r>
        <w:rPr>
          <w:rFonts w:hint="eastAsia"/>
          <w:color w:val="000000"/>
        </w:rPr>
        <w:t>试验回路两端屏蔽连线应与地断开，并连接到</w:t>
      </w:r>
      <w:r>
        <w:rPr>
          <w:color w:val="000000"/>
        </w:rPr>
        <w:t>短</w:t>
      </w:r>
      <w:r>
        <w:rPr>
          <w:rFonts w:hint="eastAsia"/>
          <w:color w:val="000000"/>
        </w:rPr>
        <w:t>路发生器上。应由制造</w:t>
      </w:r>
      <w:r>
        <w:rPr>
          <w:color w:val="000000"/>
        </w:rPr>
        <w:t>方</w:t>
      </w:r>
      <w:r>
        <w:rPr>
          <w:rFonts w:hint="eastAsia"/>
          <w:color w:val="000000"/>
        </w:rPr>
        <w:t>一与用户商定按电网的实际短路条件而确定试验电流和持续时间。</w:t>
      </w:r>
    </w:p>
    <w:p>
      <w:pPr>
        <w:spacing w:line="360" w:lineRule="auto"/>
        <w:ind w:firstLine="420" w:firstLineChars="200"/>
        <w:rPr>
          <w:color w:val="000000"/>
        </w:rPr>
      </w:pPr>
      <w:r>
        <w:rPr>
          <w:rFonts w:hint="eastAsia"/>
          <w:color w:val="000000"/>
        </w:rPr>
        <w:t>附件安装和温度测量在</w:t>
      </w:r>
      <w:r>
        <w:rPr>
          <w:color w:val="000000"/>
        </w:rPr>
        <w:t>GB/T 18889</w:t>
      </w:r>
      <w:r>
        <w:rPr>
          <w:rFonts w:hint="eastAsia"/>
          <w:color w:val="000000"/>
        </w:rPr>
        <w:t>第</w:t>
      </w:r>
      <w:r>
        <w:rPr>
          <w:color w:val="000000"/>
        </w:rPr>
        <w:t>8</w:t>
      </w:r>
      <w:r>
        <w:rPr>
          <w:rFonts w:hint="eastAsia"/>
          <w:color w:val="000000"/>
        </w:rPr>
        <w:t>章中给定，短路试验之前，应对电缆导体加热并在</w:t>
      </w:r>
      <w:r>
        <w:rPr>
          <w:color w:val="000000"/>
        </w:rPr>
        <w:t>上</w:t>
      </w:r>
      <w:r>
        <w:rPr>
          <w:rFonts w:hint="eastAsia"/>
          <w:color w:val="000000"/>
        </w:rPr>
        <w:t>述温度下至少稳定</w:t>
      </w:r>
      <w:r>
        <w:rPr>
          <w:color w:val="000000"/>
        </w:rPr>
        <w:t>2h</w:t>
      </w:r>
      <w:r>
        <w:rPr>
          <w:rFonts w:hint="eastAsia"/>
          <w:color w:val="000000"/>
        </w:rPr>
        <w:t>。对于挤包绝缘电缆，为电缆正常运行时导体最高温度以上</w:t>
      </w:r>
      <w:r>
        <w:rPr>
          <w:color w:val="000000"/>
        </w:rPr>
        <w:t>(5~10°0</w:t>
      </w:r>
      <w:r>
        <w:rPr>
          <w:rFonts w:hint="eastAsia"/>
          <w:color w:val="000000"/>
        </w:rPr>
        <w:t>）</w:t>
      </w:r>
      <w:r>
        <w:rPr>
          <w:color w:val="000000"/>
        </w:rPr>
        <w:t>。</w:t>
      </w:r>
    </w:p>
    <w:p>
      <w:pPr>
        <w:spacing w:line="360" w:lineRule="auto"/>
        <w:ind w:firstLine="420" w:firstLineChars="200"/>
        <w:rPr>
          <w:color w:val="000000"/>
        </w:rPr>
      </w:pPr>
      <w:r>
        <w:rPr>
          <w:rFonts w:hint="eastAsia"/>
          <w:color w:val="000000"/>
        </w:rPr>
        <w:t>对于纸绝缘电缆，为电缆正常运行时导体最高温度以上</w:t>
      </w:r>
      <w:r>
        <w:rPr>
          <w:color w:val="000000"/>
        </w:rPr>
        <w:t>(0~5°0)</w:t>
      </w:r>
      <w:r>
        <w:rPr>
          <w:rFonts w:hint="eastAsia"/>
          <w:color w:val="000000"/>
        </w:rPr>
        <w:t>。</w:t>
      </w:r>
    </w:p>
    <w:p>
      <w:pPr>
        <w:spacing w:line="360" w:lineRule="auto"/>
        <w:ind w:firstLine="420" w:firstLineChars="200"/>
        <w:rPr>
          <w:color w:val="000000"/>
        </w:rPr>
      </w:pPr>
      <w:r>
        <w:rPr>
          <w:rFonts w:hint="eastAsia"/>
          <w:color w:val="000000"/>
        </w:rPr>
        <w:t>在进行</w:t>
      </w:r>
      <w:r>
        <w:rPr>
          <w:color w:val="000000"/>
        </w:rPr>
        <w:t>短</w:t>
      </w:r>
      <w:r>
        <w:rPr>
          <w:rFonts w:hint="eastAsia"/>
          <w:color w:val="000000"/>
        </w:rPr>
        <w:t>路试验前后，应采用热电偶或任何其他合适的方法测量屏蔽层温度</w:t>
      </w:r>
      <w:r>
        <w:rPr>
          <w:color w:val="000000"/>
        </w:rPr>
        <w:t>。</w:t>
      </w:r>
      <w:r>
        <w:rPr>
          <w:rFonts w:hint="eastAsia"/>
          <w:color w:val="000000"/>
        </w:rPr>
        <w:t>应按商定的试验电流和持续时间在屏蔽层</w:t>
      </w:r>
      <w:r>
        <w:rPr>
          <w:color w:val="000000"/>
        </w:rPr>
        <w:t>上</w:t>
      </w:r>
      <w:r>
        <w:rPr>
          <w:rFonts w:hint="eastAsia"/>
          <w:color w:val="000000"/>
        </w:rPr>
        <w:t>进行两次短路试验，应允许两次短路之问电缆屏蔽层温度冷却至不超过第</w:t>
      </w:r>
      <w:r>
        <w:rPr>
          <w:color w:val="000000"/>
        </w:rPr>
        <w:t>一</w:t>
      </w:r>
      <w:r>
        <w:rPr>
          <w:rFonts w:hint="eastAsia"/>
          <w:color w:val="000000"/>
        </w:rPr>
        <w:t>次短路前温度</w:t>
      </w:r>
      <w:r>
        <w:rPr>
          <w:color w:val="000000"/>
        </w:rPr>
        <w:t>10°0</w:t>
      </w:r>
      <w:r>
        <w:rPr>
          <w:rFonts w:hint="eastAsia"/>
          <w:color w:val="000000"/>
        </w:rPr>
        <w:t>。</w:t>
      </w:r>
    </w:p>
    <w:p>
      <w:pPr>
        <w:pStyle w:val="190"/>
        <w:rPr>
          <w:rFonts w:ascii="黑体" w:hAnsi="黑体"/>
        </w:rPr>
      </w:pPr>
      <w:r>
        <w:rPr>
          <w:rFonts w:hAnsi="Times New Roman" w:cs="Times New Roman"/>
          <w:b/>
        </w:rPr>
        <w:t>6.2.7</w:t>
      </w:r>
      <w:r>
        <w:rPr>
          <w:rFonts w:hint="eastAsia" w:hAnsi="Times New Roman" w:cs="Times New Roman"/>
          <w:b/>
        </w:rPr>
        <w:t xml:space="preserve"> </w:t>
      </w:r>
      <w:r>
        <w:rPr>
          <w:rFonts w:hint="eastAsia" w:ascii="黑体" w:hAnsi="黑体"/>
        </w:rPr>
        <w:t>短路热稳定试验</w:t>
      </w:r>
      <w:r>
        <w:rPr>
          <w:rFonts w:ascii="黑体" w:hAnsi="黑体"/>
        </w:rPr>
        <w:t>(</w:t>
      </w:r>
      <w:r>
        <w:rPr>
          <w:rFonts w:hint="eastAsia" w:ascii="黑体" w:hAnsi="黑体"/>
        </w:rPr>
        <w:t>导体</w:t>
      </w:r>
      <w:r>
        <w:rPr>
          <w:rFonts w:ascii="黑体" w:hAnsi="黑体"/>
        </w:rPr>
        <w:t>)</w:t>
      </w:r>
    </w:p>
    <w:p>
      <w:pPr>
        <w:spacing w:line="360" w:lineRule="auto"/>
        <w:ind w:firstLine="420" w:firstLineChars="200"/>
        <w:rPr>
          <w:color w:val="000000"/>
        </w:rPr>
      </w:pPr>
      <w:r>
        <w:rPr>
          <w:rFonts w:hint="eastAsia"/>
          <w:color w:val="000000"/>
        </w:rPr>
        <w:t>将电缆回路的一端与短路发生器相连接，另一端接到短路排上进行试验，也可选用另一种方法，将三个线芯串联起来</w:t>
      </w:r>
      <w:r>
        <w:rPr>
          <w:color w:val="000000"/>
        </w:rPr>
        <w:t>.</w:t>
      </w:r>
      <w:r>
        <w:rPr>
          <w:rFonts w:hint="eastAsia"/>
          <w:color w:val="000000"/>
        </w:rPr>
        <w:t>如同单芯附件一样试验。应用交流或直流电流将导体温度升到电缆最高允许短路温度</w:t>
      </w:r>
      <w:r>
        <w:rPr>
          <w:color w:val="000000"/>
        </w:rPr>
        <w:t>(</w:t>
      </w:r>
      <w:r>
        <w:rPr>
          <w:rFonts w:hint="eastAsia"/>
          <w:color w:val="000000"/>
        </w:rPr>
        <w:t>氏</w:t>
      </w:r>
      <w:r>
        <w:rPr>
          <w:color w:val="000000"/>
        </w:rPr>
        <w:t>)</w:t>
      </w:r>
      <w:r>
        <w:rPr>
          <w:rFonts w:hint="eastAsia"/>
          <w:color w:val="000000"/>
        </w:rPr>
        <w:t>时间不超过</w:t>
      </w:r>
      <w:r>
        <w:rPr>
          <w:color w:val="000000"/>
        </w:rPr>
        <w:t>5s</w:t>
      </w:r>
      <w:r>
        <w:rPr>
          <w:rFonts w:hint="eastAsia"/>
          <w:color w:val="000000"/>
        </w:rPr>
        <w:t>。短路两次，允许两次短路之间试验回路冷却到超过试验开始时导体温度</w:t>
      </w:r>
      <w:r>
        <w:rPr>
          <w:color w:val="000000"/>
        </w:rPr>
        <w:t>(5~10度路冷</w:t>
      </w:r>
      <w:r>
        <w:rPr>
          <w:rFonts w:hint="eastAsia"/>
          <w:color w:val="000000"/>
        </w:rPr>
        <w:t>。</w:t>
      </w:r>
    </w:p>
    <w:p>
      <w:pPr>
        <w:pStyle w:val="190"/>
        <w:rPr>
          <w:rFonts w:ascii="黑体" w:hAnsi="黑体"/>
        </w:rPr>
      </w:pPr>
      <w:r>
        <w:rPr>
          <w:rFonts w:hAnsi="Times New Roman" w:cs="Times New Roman"/>
          <w:b/>
        </w:rPr>
        <w:t>6.2.8</w:t>
      </w:r>
      <w:r>
        <w:rPr>
          <w:rFonts w:hint="eastAsia" w:hAnsi="Times New Roman" w:cs="Times New Roman"/>
          <w:b/>
        </w:rPr>
        <w:t xml:space="preserve"> </w:t>
      </w:r>
      <w:r>
        <w:rPr>
          <w:rFonts w:hint="eastAsia" w:ascii="黑体" w:hAnsi="黑体"/>
        </w:rPr>
        <w:t>短路动稳定试验</w:t>
      </w:r>
    </w:p>
    <w:p>
      <w:pPr>
        <w:adjustRightInd w:val="0"/>
        <w:spacing w:line="360" w:lineRule="auto"/>
        <w:ind w:firstLine="420" w:firstLineChars="200"/>
        <w:rPr>
          <w:color w:val="000000"/>
        </w:rPr>
      </w:pPr>
      <w:r>
        <w:rPr>
          <w:rFonts w:hint="eastAsia"/>
          <w:color w:val="000000"/>
        </w:rPr>
        <w:t>试验回路应由三根单芯电缆或一根三芯电缆与附件组成。试验电缆回路的一端应与短路发生器相连接，另一端应接到短路排上。对于终端、可分离连接器和接头，电缆与附件的固定方法及附件之间的间隔应按制造方推荐确定，单芯电缆接头应按三角形排列进行试验</w:t>
      </w:r>
      <w:r>
        <w:rPr>
          <w:color w:val="000000"/>
        </w:rPr>
        <w:t>。</w:t>
      </w:r>
    </w:p>
    <w:p>
      <w:pPr>
        <w:adjustRightInd w:val="0"/>
        <w:spacing w:line="360" w:lineRule="auto"/>
        <w:ind w:firstLine="420" w:firstLineChars="200"/>
        <w:rPr>
          <w:color w:val="000000"/>
        </w:rPr>
      </w:pPr>
      <w:r>
        <w:rPr>
          <w:rFonts w:hint="eastAsia"/>
          <w:color w:val="000000"/>
        </w:rPr>
        <w:t>应按下列规定以合适的时间和电流值施加短路电流：</w:t>
      </w:r>
    </w:p>
    <w:p>
      <w:pPr>
        <w:pStyle w:val="19"/>
        <w:adjustRightInd w:val="0"/>
        <w:spacing w:line="360" w:lineRule="auto"/>
        <w:ind w:firstLine="420" w:firstLineChars="200"/>
        <w:rPr>
          <w:rFonts w:ascii="Times New Roman" w:hAnsi="Times New Roman"/>
          <w:color w:val="000000"/>
          <w:kern w:val="2"/>
          <w:sz w:val="21"/>
        </w:rPr>
      </w:pPr>
      <w:r>
        <w:rPr>
          <w:rFonts w:hint="eastAsia" w:ascii="Times New Roman" w:hAnsi="Times New Roman"/>
          <w:color w:val="000000"/>
          <w:kern w:val="2"/>
          <w:sz w:val="21"/>
        </w:rPr>
        <w:t>短路电流</w:t>
      </w:r>
      <w:r>
        <w:rPr>
          <w:rFonts w:ascii="Times New Roman" w:hAnsi="Times New Roman"/>
          <w:color w:val="000000"/>
          <w:kern w:val="2"/>
          <w:sz w:val="21"/>
        </w:rPr>
        <w:t>:</w:t>
      </w:r>
      <w:r>
        <w:rPr>
          <w:rFonts w:ascii="Times New Roman" w:hAnsi="Times New Roman"/>
          <w:kern w:val="2"/>
          <w:sz w:val="21"/>
          <w:szCs w:val="20"/>
        </w:rPr>
        <w:t>I</w:t>
      </w:r>
      <w:r>
        <w:rPr>
          <w:rFonts w:ascii="Times New Roman" w:hAnsi="Times New Roman"/>
          <w:kern w:val="2"/>
          <w:sz w:val="21"/>
          <w:szCs w:val="20"/>
          <w:vertAlign w:val="subscript"/>
        </w:rPr>
        <w:t>d</w:t>
      </w:r>
      <w:r>
        <w:rPr>
          <w:rFonts w:ascii="Times New Roman" w:hAnsi="Times New Roman"/>
          <w:color w:val="000000"/>
          <w:kern w:val="2"/>
          <w:sz w:val="21"/>
        </w:rPr>
        <w:t>=2.5 ×I（I为6.2.7中短路时间1s时计算得出的短路电流值）</w:t>
      </w:r>
      <w:r>
        <w:rPr>
          <w:rFonts w:hint="eastAsia" w:ascii="Times New Roman" w:hAnsi="Times New Roman"/>
          <w:color w:val="000000"/>
          <w:kern w:val="2"/>
          <w:sz w:val="21"/>
        </w:rPr>
        <w:t>，持续时间至少</w:t>
      </w:r>
      <w:r>
        <w:rPr>
          <w:rFonts w:ascii="Times New Roman" w:hAnsi="Times New Roman"/>
          <w:color w:val="000000"/>
          <w:kern w:val="2"/>
          <w:sz w:val="21"/>
        </w:rPr>
        <w:t>10ms</w:t>
      </w:r>
      <w:r>
        <w:rPr>
          <w:rFonts w:hint="eastAsia" w:ascii="Times New Roman" w:hAnsi="Times New Roman"/>
          <w:color w:val="000000"/>
          <w:kern w:val="2"/>
          <w:sz w:val="21"/>
        </w:rPr>
        <w:t>。记录波形。</w:t>
      </w:r>
    </w:p>
    <w:p>
      <w:pPr>
        <w:pStyle w:val="190"/>
        <w:rPr>
          <w:rFonts w:ascii="黑体" w:hAnsi="黑体"/>
        </w:rPr>
      </w:pPr>
      <w:r>
        <w:rPr>
          <w:rFonts w:hAnsi="Times New Roman" w:cs="Times New Roman"/>
          <w:b/>
        </w:rPr>
        <w:t>6.2.9</w:t>
      </w:r>
      <w:r>
        <w:rPr>
          <w:rFonts w:hint="eastAsia" w:hAnsi="Times New Roman" w:cs="Times New Roman"/>
          <w:b/>
        </w:rPr>
        <w:t xml:space="preserve"> </w:t>
      </w:r>
      <w:r>
        <w:rPr>
          <w:rFonts w:hint="eastAsia" w:ascii="黑体" w:hAnsi="黑体"/>
        </w:rPr>
        <w:t>潮湿试验和盐雾试验</w:t>
      </w:r>
    </w:p>
    <w:p>
      <w:pPr>
        <w:adjustRightInd w:val="0"/>
        <w:spacing w:line="360" w:lineRule="auto"/>
        <w:ind w:firstLine="420" w:firstLineChars="200"/>
        <w:rPr>
          <w:color w:val="000000"/>
        </w:rPr>
      </w:pPr>
      <w:r>
        <w:rPr>
          <w:rFonts w:hint="eastAsia"/>
          <w:color w:val="000000"/>
        </w:rPr>
        <w:t>采用单相或三相交流电压源。试验中在泄漏电流为</w:t>
      </w:r>
      <w:r>
        <w:rPr>
          <w:color w:val="000000"/>
        </w:rPr>
        <w:t>250mA</w:t>
      </w:r>
      <w:r>
        <w:rPr>
          <w:rFonts w:hint="eastAsia"/>
          <w:color w:val="000000"/>
        </w:rPr>
        <w:t>时</w:t>
      </w:r>
      <w:r>
        <w:rPr>
          <w:color w:val="000000"/>
        </w:rPr>
        <w:t>，</w:t>
      </w:r>
      <w:r>
        <w:rPr>
          <w:rFonts w:hint="eastAsia"/>
          <w:color w:val="000000"/>
        </w:rPr>
        <w:t>电源高压侧的最大电压降应小于</w:t>
      </w:r>
      <w:r>
        <w:rPr>
          <w:color w:val="000000"/>
        </w:rPr>
        <w:t>5%</w:t>
      </w:r>
      <w:r>
        <w:rPr>
          <w:rFonts w:hint="eastAsia"/>
          <w:color w:val="000000"/>
        </w:rPr>
        <w:t>。</w:t>
      </w:r>
    </w:p>
    <w:p>
      <w:pPr>
        <w:adjustRightInd w:val="0"/>
        <w:spacing w:line="360" w:lineRule="auto"/>
        <w:ind w:firstLine="420" w:firstLineChars="200"/>
        <w:rPr>
          <w:color w:val="000000"/>
        </w:rPr>
      </w:pPr>
      <w:r>
        <w:rPr>
          <w:rFonts w:hint="eastAsia"/>
          <w:color w:val="000000"/>
        </w:rPr>
        <w:t>潮湿试验室应装备喷雾嘴或其他可排出雾化水的加湿器</w:t>
      </w:r>
      <w:r>
        <w:rPr>
          <w:color w:val="000000"/>
        </w:rPr>
        <w:t>。</w:t>
      </w:r>
      <w:r>
        <w:rPr>
          <w:rFonts w:hint="eastAsia"/>
          <w:color w:val="000000"/>
        </w:rPr>
        <w:t>喷雾速率为</w:t>
      </w:r>
      <w:r>
        <w:rPr>
          <w:color w:val="000000"/>
        </w:rPr>
        <w:t>(0.4+0.1)I/(</w:t>
      </w:r>
      <w:r>
        <w:t>h</w:t>
      </w:r>
      <w:r>
        <w:rPr>
          <w:szCs w:val="20"/>
        </w:rPr>
        <w:t>m</w:t>
      </w:r>
      <w:r>
        <w:rPr>
          <w:szCs w:val="20"/>
          <w:vertAlign w:val="superscript"/>
        </w:rPr>
        <w:t>3</w:t>
      </w:r>
      <w:r>
        <w:rPr>
          <w:szCs w:val="20"/>
        </w:rPr>
        <w:t>)</w:t>
      </w:r>
      <w:r>
        <w:rPr>
          <w:rFonts w:hint="eastAsia"/>
          <w:szCs w:val="20"/>
        </w:rPr>
        <w:t>，</w:t>
      </w:r>
      <w:r>
        <w:rPr>
          <w:rFonts w:hint="eastAsia"/>
          <w:color w:val="000000"/>
        </w:rPr>
        <w:t>整个试验期间雾水的电导率，对于潮湿试验应为</w:t>
      </w:r>
      <w:r>
        <w:rPr>
          <w:color w:val="000000"/>
        </w:rPr>
        <w:t>(70</w:t>
      </w:r>
      <w:r>
        <w:rPr>
          <w:rFonts w:hint="eastAsia"/>
          <w:color w:val="000000"/>
        </w:rPr>
        <w:t>士</w:t>
      </w:r>
      <w:r>
        <w:rPr>
          <w:color w:val="000000"/>
        </w:rPr>
        <w:t>10)mS/m</w:t>
      </w:r>
      <w:r>
        <w:rPr>
          <w:rFonts w:hint="eastAsia"/>
          <w:color w:val="000000"/>
        </w:rPr>
        <w:t>，而对于盐雾试验应为</w:t>
      </w:r>
      <w:r>
        <w:rPr>
          <w:color w:val="000000"/>
        </w:rPr>
        <w:t>(1600+200)mS/m</w:t>
      </w:r>
      <w:r>
        <w:rPr>
          <w:rFonts w:hint="eastAsia"/>
          <w:color w:val="000000"/>
        </w:rPr>
        <w:t>。</w:t>
      </w:r>
    </w:p>
    <w:p>
      <w:pPr>
        <w:adjustRightInd w:val="0"/>
        <w:spacing w:line="360" w:lineRule="auto"/>
        <w:ind w:firstLine="420" w:firstLineChars="200"/>
        <w:rPr>
          <w:color w:val="000000"/>
        </w:rPr>
      </w:pPr>
      <w:r>
        <w:rPr>
          <w:rFonts w:hint="eastAsia"/>
          <w:color w:val="000000"/>
        </w:rPr>
        <w:t>试验室应能满足在试验期间没有水直接滴落到附件上的要求</w:t>
      </w:r>
      <w:r>
        <w:rPr>
          <w:color w:val="000000"/>
        </w:rPr>
        <w:t>。</w:t>
      </w:r>
    </w:p>
    <w:p>
      <w:pPr>
        <w:adjustRightInd w:val="0"/>
        <w:spacing w:line="360" w:lineRule="auto"/>
        <w:ind w:firstLine="420" w:firstLineChars="200"/>
        <w:rPr>
          <w:color w:val="000000"/>
        </w:rPr>
      </w:pPr>
      <w:r>
        <w:rPr>
          <w:rFonts w:hint="eastAsia"/>
          <w:color w:val="000000"/>
        </w:rPr>
        <w:t>按照制造方的说明书，并以与运行状态下附件相同的安装方向和相对间距将试验附件安装在潮湿试验室内。三个非蔽可分离连接器或几个护罩式终端应安装在试验终端盒内，且经受三相电压试验。三芯电缆终端也应经受三相电压试验。</w:t>
      </w:r>
    </w:p>
    <w:p>
      <w:pPr>
        <w:adjustRightInd w:val="0"/>
        <w:spacing w:line="360" w:lineRule="auto"/>
        <w:ind w:firstLine="420" w:firstLineChars="200"/>
        <w:rPr>
          <w:color w:val="000000"/>
        </w:rPr>
      </w:pPr>
      <w:r>
        <w:rPr>
          <w:rFonts w:hint="eastAsia"/>
          <w:color w:val="000000"/>
        </w:rPr>
        <w:t>应采用连接到测量电源电流的自动断路器来保护变压器的各相，没定当流过高</w:t>
      </w:r>
      <w:r>
        <w:rPr>
          <w:color w:val="000000"/>
        </w:rPr>
        <w:t>压</w:t>
      </w:r>
      <w:r>
        <w:rPr>
          <w:rFonts w:hint="eastAsia"/>
          <w:color w:val="000000"/>
        </w:rPr>
        <w:t>侧的瞬时电流达</w:t>
      </w:r>
      <w:r>
        <w:rPr>
          <w:color w:val="000000"/>
        </w:rPr>
        <w:t>(1.0+0.1</w:t>
      </w:r>
      <w:r>
        <w:rPr>
          <w:rFonts w:hint="eastAsia"/>
          <w:color w:val="000000"/>
        </w:rPr>
        <w:t>）</w:t>
      </w:r>
      <w:r>
        <w:rPr>
          <w:color w:val="000000"/>
        </w:rPr>
        <w:t>A</w:t>
      </w:r>
      <w:r>
        <w:rPr>
          <w:rFonts w:hint="eastAsia"/>
          <w:color w:val="000000"/>
        </w:rPr>
        <w:t>时，在</w:t>
      </w:r>
      <w:r>
        <w:rPr>
          <w:color w:val="000000"/>
        </w:rPr>
        <w:t>50 ms-250 m</w:t>
      </w:r>
      <w:r>
        <w:rPr>
          <w:rFonts w:hint="eastAsia"/>
          <w:color w:val="000000"/>
        </w:rPr>
        <w:t>时间内令电路断开。</w:t>
      </w:r>
    </w:p>
    <w:p>
      <w:pPr>
        <w:adjustRightInd w:val="0"/>
        <w:spacing w:line="360" w:lineRule="auto"/>
        <w:ind w:firstLine="420" w:firstLineChars="200"/>
        <w:rPr>
          <w:color w:val="000000"/>
        </w:rPr>
      </w:pPr>
      <w:r>
        <w:rPr>
          <w:rFonts w:hint="eastAsia"/>
          <w:color w:val="000000"/>
        </w:rPr>
        <w:t>试验期间，潮湿试验室内温度应为环境温度，时间和电压值应在相应标准中给定，允许试验中断时间不超过试验时间的</w:t>
      </w:r>
      <w:r>
        <w:rPr>
          <w:color w:val="000000"/>
        </w:rPr>
        <w:t>5%</w:t>
      </w:r>
      <w:r>
        <w:rPr>
          <w:rFonts w:hint="eastAsia"/>
          <w:color w:val="000000"/>
        </w:rPr>
        <w:t>，在试验期间不允许清洗附件或进行任何其他类似的干扰，试验开始前和完成试验以后，至少应在两个相反的方向摄下被试附件的彩色照片</w:t>
      </w:r>
      <w:r>
        <w:rPr>
          <w:color w:val="000000"/>
        </w:rPr>
        <w:t>，</w:t>
      </w:r>
      <w:r>
        <w:rPr>
          <w:rFonts w:hint="eastAsia"/>
          <w:color w:val="000000"/>
        </w:rPr>
        <w:t>照片应清晰地展示泄漏途径的状况。</w:t>
      </w:r>
    </w:p>
    <w:p>
      <w:pPr>
        <w:adjustRightInd w:val="0"/>
        <w:spacing w:line="360" w:lineRule="auto"/>
        <w:ind w:firstLine="420" w:firstLineChars="200"/>
        <w:rPr>
          <w:color w:val="000000"/>
        </w:rPr>
      </w:pPr>
      <w:r>
        <w:rPr>
          <w:rFonts w:hint="eastAsia"/>
          <w:color w:val="000000"/>
        </w:rPr>
        <w:t>试验结束后应注明试样的状况。试验结果应记录发生的任何闪络、附件状态的描述和照片</w:t>
      </w:r>
      <w:r>
        <w:rPr>
          <w:color w:val="000000"/>
        </w:rPr>
        <w:t>，</w:t>
      </w:r>
      <w:r>
        <w:rPr>
          <w:rFonts w:hint="eastAsia"/>
          <w:color w:val="000000"/>
        </w:rPr>
        <w:t>尤其是仟何电痕、电蚀或机械损伤。</w:t>
      </w:r>
    </w:p>
    <w:p>
      <w:pPr>
        <w:pStyle w:val="190"/>
        <w:rPr>
          <w:rFonts w:ascii="黑体" w:hAnsi="黑体"/>
        </w:rPr>
      </w:pPr>
      <w:r>
        <w:rPr>
          <w:rFonts w:hAnsi="Times New Roman" w:cs="Times New Roman"/>
          <w:b/>
        </w:rPr>
        <w:t xml:space="preserve">6.2.10 </w:t>
      </w:r>
      <w:r>
        <w:rPr>
          <w:rFonts w:ascii="黑体" w:hAnsi="黑体"/>
        </w:rPr>
        <w:t>振荡波法局放试验（参考）</w:t>
      </w:r>
    </w:p>
    <w:p>
      <w:pPr>
        <w:pStyle w:val="19"/>
        <w:spacing w:line="360" w:lineRule="auto"/>
        <w:ind w:firstLine="420" w:firstLineChars="200"/>
        <w:rPr>
          <w:rFonts w:ascii="Times New Roman" w:hAnsi="Times New Roman"/>
          <w:color w:val="000000"/>
          <w:kern w:val="2"/>
          <w:sz w:val="21"/>
        </w:rPr>
      </w:pPr>
      <w:r>
        <w:rPr>
          <w:rFonts w:ascii="Times New Roman" w:hAnsi="Times New Roman"/>
          <w:color w:val="000000"/>
          <w:kern w:val="2"/>
          <w:sz w:val="21"/>
        </w:rPr>
        <w:t>1）试验项目</w:t>
      </w:r>
    </w:p>
    <w:p>
      <w:pPr>
        <w:adjustRightInd w:val="0"/>
        <w:spacing w:line="360" w:lineRule="auto"/>
        <w:ind w:firstLine="420" w:firstLineChars="200"/>
        <w:rPr>
          <w:color w:val="000000"/>
        </w:rPr>
      </w:pPr>
      <w:r>
        <w:rPr>
          <w:color w:val="000000"/>
        </w:rPr>
        <w:t>10kV交联聚乙烯电缆交接、预防性试验可以采用振荡波局放测试试验。</w:t>
      </w:r>
    </w:p>
    <w:p>
      <w:pPr>
        <w:pStyle w:val="19"/>
        <w:spacing w:line="360" w:lineRule="auto"/>
        <w:ind w:firstLine="420" w:firstLineChars="200"/>
        <w:rPr>
          <w:rFonts w:ascii="Times New Roman" w:hAnsi="Times New Roman"/>
          <w:color w:val="000000"/>
          <w:kern w:val="2"/>
          <w:sz w:val="21"/>
        </w:rPr>
      </w:pPr>
      <w:r>
        <w:rPr>
          <w:rFonts w:ascii="Times New Roman" w:hAnsi="Times New Roman"/>
          <w:color w:val="000000"/>
          <w:kern w:val="2"/>
          <w:sz w:val="21"/>
        </w:rPr>
        <w:t>2）试验周期</w:t>
      </w:r>
    </w:p>
    <w:p>
      <w:pPr>
        <w:adjustRightInd w:val="0"/>
        <w:spacing w:line="360" w:lineRule="auto"/>
        <w:ind w:firstLine="420" w:firstLineChars="200"/>
        <w:rPr>
          <w:color w:val="000000"/>
        </w:rPr>
      </w:pPr>
      <w:r>
        <w:rPr>
          <w:color w:val="000000"/>
        </w:rPr>
        <w:t>新建或大修后的电缆须在投运后3年内进行一次振荡波测试预防性试验，之后可以考虑每6年进行一次。对存在疑似或同类设备家族性缺陷的电缆，则应根据测试分析结果适当缩短跟踪试验周期。</w:t>
      </w:r>
    </w:p>
    <w:p>
      <w:pPr>
        <w:pStyle w:val="19"/>
        <w:spacing w:line="360" w:lineRule="auto"/>
        <w:ind w:firstLine="420" w:firstLineChars="200"/>
        <w:rPr>
          <w:rFonts w:ascii="Times New Roman" w:hAnsi="Times New Roman"/>
          <w:color w:val="000000"/>
          <w:kern w:val="2"/>
          <w:sz w:val="21"/>
        </w:rPr>
      </w:pPr>
      <w:r>
        <w:rPr>
          <w:rFonts w:ascii="Times New Roman" w:hAnsi="Times New Roman"/>
          <w:color w:val="000000"/>
          <w:kern w:val="2"/>
          <w:sz w:val="21"/>
        </w:rPr>
        <w:t>3）试验范围</w:t>
      </w:r>
    </w:p>
    <w:p>
      <w:pPr>
        <w:adjustRightInd w:val="0"/>
        <w:spacing w:line="360" w:lineRule="auto"/>
        <w:ind w:firstLine="420" w:firstLineChars="200"/>
        <w:rPr>
          <w:color w:val="000000"/>
        </w:rPr>
      </w:pPr>
      <w:r>
        <w:rPr>
          <w:color w:val="000000"/>
        </w:rPr>
        <w:t>长度在150m以上（包括150m）的站出线第一段10kV交联聚乙烯电力电缆进行振荡波局放测试交接试验，其余各段以及长度小于150m的站出线第一段10kV交联聚乙烯电力电缆仍采用现场交流耐压试验。在允许的条件下，可推广电缆振荡波在交接试验的应用。</w:t>
      </w:r>
    </w:p>
    <w:p>
      <w:pPr>
        <w:pStyle w:val="19"/>
        <w:spacing w:line="360" w:lineRule="auto"/>
        <w:ind w:firstLine="420" w:firstLineChars="200"/>
        <w:rPr>
          <w:rFonts w:ascii="Times New Roman" w:hAnsi="Times New Roman"/>
          <w:kern w:val="2"/>
          <w:sz w:val="21"/>
          <w:szCs w:val="20"/>
        </w:rPr>
      </w:pPr>
      <w:r>
        <w:rPr>
          <w:rFonts w:ascii="Times New Roman" w:hAnsi="Times New Roman"/>
          <w:kern w:val="2"/>
          <w:sz w:val="21"/>
          <w:szCs w:val="20"/>
        </w:rPr>
        <w:t>4）试验要求</w:t>
      </w:r>
    </w:p>
    <w:p>
      <w:pPr>
        <w:numPr>
          <w:ilvl w:val="0"/>
          <w:numId w:val="2"/>
        </w:numPr>
        <w:adjustRightInd w:val="0"/>
        <w:spacing w:line="360" w:lineRule="auto"/>
        <w:rPr>
          <w:color w:val="000000"/>
        </w:rPr>
      </w:pPr>
      <w:r>
        <w:rPr>
          <w:color w:val="000000"/>
        </w:rPr>
        <w:t>10kV交联聚乙烯电缆振荡波局放检测的最佳试验距离是150-3000m，长度小于150m应采用交流耐压试验，大于 3000m应分别在电缆两端进行局放检测，更长距离应视振荡波在被测电缆中的衰减特性和试验设备的容量选择合理的试验方式。</w:t>
      </w:r>
    </w:p>
    <w:p>
      <w:pPr>
        <w:numPr>
          <w:ilvl w:val="0"/>
          <w:numId w:val="2"/>
        </w:numPr>
        <w:adjustRightInd w:val="0"/>
        <w:spacing w:line="360" w:lineRule="auto"/>
        <w:rPr>
          <w:color w:val="000000"/>
        </w:rPr>
      </w:pPr>
      <w:r>
        <w:rPr>
          <w:color w:val="000000"/>
        </w:rPr>
        <w:t>关于试验校准应遵循以下原则：</w:t>
      </w:r>
    </w:p>
    <w:p>
      <w:pPr>
        <w:adjustRightInd w:val="0"/>
        <w:spacing w:line="360" w:lineRule="auto"/>
        <w:ind w:firstLine="420" w:firstLineChars="200"/>
        <w:rPr>
          <w:color w:val="000000"/>
        </w:rPr>
      </w:pPr>
      <w:r>
        <w:rPr>
          <w:color w:val="000000"/>
        </w:rPr>
        <w:t>校准量：100PC</w:t>
      </w:r>
      <w:r>
        <w:t>、</w:t>
      </w:r>
      <w:r>
        <w:rPr>
          <w:color w:val="000000"/>
        </w:rPr>
        <w:t>200PC、500PC、1nC、2nC、5nC、10nC、20nC、50nC、100nC</w:t>
      </w:r>
    </w:p>
    <w:p>
      <w:pPr>
        <w:adjustRightInd w:val="0"/>
        <w:spacing w:line="360" w:lineRule="auto"/>
        <w:ind w:firstLine="420" w:firstLineChars="200"/>
        <w:rPr>
          <w:color w:val="000000"/>
        </w:rPr>
      </w:pPr>
      <w:r>
        <w:rPr>
          <w:color w:val="000000"/>
        </w:rPr>
        <w:t>在校准波形中要能够区分入射波与反射波</w:t>
      </w:r>
    </w:p>
    <w:p>
      <w:pPr>
        <w:adjustRightInd w:val="0"/>
        <w:spacing w:line="360" w:lineRule="auto"/>
        <w:ind w:firstLine="420" w:firstLineChars="200"/>
        <w:rPr>
          <w:color w:val="000000"/>
        </w:rPr>
      </w:pPr>
      <w:r>
        <w:rPr>
          <w:color w:val="000000"/>
        </w:rPr>
        <w:t>波速在165-170m/μs范围内</w:t>
      </w:r>
    </w:p>
    <w:p>
      <w:pPr>
        <w:adjustRightInd w:val="0"/>
        <w:spacing w:line="360" w:lineRule="auto"/>
        <w:ind w:firstLine="420" w:firstLineChars="200"/>
        <w:rPr>
          <w:color w:val="000000"/>
        </w:rPr>
      </w:pPr>
      <w:r>
        <w:rPr>
          <w:color w:val="000000"/>
        </w:rPr>
        <w:t>三芯电缆校准其中一相即可，单芯电缆每相均须校准</w:t>
      </w:r>
    </w:p>
    <w:p>
      <w:pPr>
        <w:numPr>
          <w:ilvl w:val="0"/>
          <w:numId w:val="2"/>
        </w:numPr>
        <w:adjustRightInd w:val="0"/>
        <w:spacing w:line="360" w:lineRule="auto"/>
        <w:rPr>
          <w:color w:val="000000"/>
        </w:rPr>
      </w:pPr>
      <w:r>
        <w:rPr>
          <w:color w:val="000000"/>
        </w:rPr>
        <w:t>在测量时发现电缆终端头等尖端放电干扰时，应采用屏蔽方法隔离其余两相再进行试验</w:t>
      </w:r>
    </w:p>
    <w:p>
      <w:pPr>
        <w:numPr>
          <w:ilvl w:val="0"/>
          <w:numId w:val="2"/>
        </w:numPr>
        <w:adjustRightInd w:val="0"/>
        <w:spacing w:line="360" w:lineRule="auto"/>
        <w:rPr>
          <w:color w:val="000000"/>
        </w:rPr>
      </w:pPr>
      <w:r>
        <w:rPr>
          <w:color w:val="000000"/>
        </w:rPr>
        <w:t>新电缆投运时，施加的最高试验电压应为2.0U0。当有集中放电现象发生，且局放量大于100pC时，应对该电缆组织缺陷定位和检修。</w:t>
      </w:r>
    </w:p>
    <w:p>
      <w:pPr>
        <w:numPr>
          <w:ilvl w:val="0"/>
          <w:numId w:val="2"/>
        </w:numPr>
        <w:adjustRightInd w:val="0"/>
        <w:spacing w:line="360" w:lineRule="auto"/>
        <w:rPr>
          <w:color w:val="000000"/>
        </w:rPr>
      </w:pPr>
      <w:r>
        <w:rPr>
          <w:color w:val="000000"/>
        </w:rPr>
        <w:t>电缆大修新做中间接头后以及在运电缆进行预防性试验时，施加的最高试验电压应为1.7U0。当有集中放电现象发生，且局放量大于500pC时，应对该 电缆组织缺陷定位和检修。</w:t>
      </w:r>
    </w:p>
    <w:p>
      <w:pPr>
        <w:numPr>
          <w:ilvl w:val="0"/>
          <w:numId w:val="2"/>
        </w:numPr>
        <w:adjustRightInd w:val="0"/>
        <w:spacing w:line="360" w:lineRule="auto"/>
        <w:rPr>
          <w:color w:val="000000"/>
        </w:rPr>
      </w:pPr>
      <w:r>
        <w:rPr>
          <w:color w:val="000000"/>
        </w:rPr>
        <w:t>如试验结果出现集中放电现象，但放电量不大于上述第（四）、（五）项的指标时，须进行跟踪测试，测试周期一般为一年一次。当跟踪测试发现放电量明显增长时，应对该电缆组织缺陷定位和检修。</w:t>
      </w:r>
    </w:p>
    <w:p>
      <w:pPr>
        <w:pStyle w:val="19"/>
        <w:spacing w:line="360" w:lineRule="auto"/>
        <w:ind w:firstLine="420" w:firstLineChars="200"/>
        <w:rPr>
          <w:rFonts w:ascii="Times New Roman" w:hAnsi="Times New Roman"/>
          <w:color w:val="000000"/>
          <w:kern w:val="2"/>
          <w:sz w:val="21"/>
        </w:rPr>
      </w:pPr>
      <w:r>
        <w:rPr>
          <w:rFonts w:ascii="Times New Roman" w:hAnsi="Times New Roman"/>
          <w:color w:val="000000"/>
          <w:kern w:val="2"/>
          <w:sz w:val="21"/>
        </w:rPr>
        <w:t>5）局放判断方法</w:t>
      </w:r>
    </w:p>
    <w:p>
      <w:pPr>
        <w:pStyle w:val="19"/>
        <w:numPr>
          <w:ilvl w:val="0"/>
          <w:numId w:val="3"/>
        </w:numPr>
        <w:spacing w:line="360" w:lineRule="auto"/>
        <w:rPr>
          <w:rFonts w:ascii="Times New Roman" w:hAnsi="Times New Roman"/>
          <w:color w:val="000000"/>
          <w:kern w:val="2"/>
          <w:sz w:val="21"/>
        </w:rPr>
      </w:pPr>
      <w:r>
        <w:rPr>
          <w:rFonts w:ascii="Times New Roman" w:hAnsi="Times New Roman"/>
          <w:color w:val="000000"/>
          <w:kern w:val="2"/>
          <w:sz w:val="21"/>
        </w:rPr>
        <w:t>确定分析结果是否由电缆局部放电导致，可参考以下几点进行判断：</w:t>
      </w:r>
      <w:r>
        <w:rPr>
          <w:rFonts w:ascii="Times New Roman" w:hAnsi="Times New Roman"/>
          <w:kern w:val="2"/>
          <w:sz w:val="21"/>
          <w:szCs w:val="20"/>
        </w:rPr>
        <w:fldChar w:fldCharType="begin"/>
      </w:r>
      <w:r>
        <w:rPr>
          <w:rFonts w:ascii="Times New Roman" w:hAnsi="Times New Roman"/>
          <w:kern w:val="2"/>
          <w:sz w:val="21"/>
          <w:szCs w:val="20"/>
        </w:rPr>
        <w:instrText xml:space="preserve"> = 1 \* GB3 </w:instrText>
      </w:r>
      <w:r>
        <w:rPr>
          <w:rFonts w:ascii="Times New Roman" w:hAnsi="Times New Roman"/>
          <w:kern w:val="2"/>
          <w:sz w:val="21"/>
          <w:szCs w:val="20"/>
        </w:rPr>
        <w:fldChar w:fldCharType="separate"/>
      </w:r>
      <w:r>
        <w:rPr>
          <w:rFonts w:hint="eastAsia" w:hAnsi="宋体" w:cs="宋体"/>
          <w:kern w:val="2"/>
          <w:sz w:val="21"/>
          <w:szCs w:val="20"/>
        </w:rPr>
        <w:t>①</w:t>
      </w:r>
      <w:r>
        <w:rPr>
          <w:rFonts w:ascii="Times New Roman" w:hAnsi="Times New Roman"/>
          <w:kern w:val="2"/>
          <w:sz w:val="21"/>
          <w:szCs w:val="20"/>
        </w:rPr>
        <w:fldChar w:fldCharType="end"/>
      </w:r>
      <w:r>
        <w:rPr>
          <w:rFonts w:ascii="Times New Roman" w:hAnsi="Times New Roman"/>
          <w:kern w:val="2"/>
          <w:sz w:val="21"/>
        </w:rPr>
        <w:t>放电幅值和次数随着电</w:t>
      </w:r>
      <w:r>
        <w:rPr>
          <w:rFonts w:ascii="Times New Roman" w:hAnsi="Times New Roman"/>
          <w:color w:val="000000"/>
          <w:kern w:val="2"/>
          <w:sz w:val="21"/>
        </w:rPr>
        <w:t>压的升高而增加；</w:t>
      </w:r>
      <w:r>
        <w:rPr>
          <w:rFonts w:ascii="Times New Roman" w:hAnsi="Times New Roman"/>
          <w:kern w:val="2"/>
          <w:sz w:val="21"/>
          <w:szCs w:val="20"/>
        </w:rPr>
        <w:fldChar w:fldCharType="begin"/>
      </w:r>
      <w:r>
        <w:rPr>
          <w:rFonts w:ascii="Times New Roman" w:hAnsi="Times New Roman"/>
          <w:kern w:val="2"/>
          <w:sz w:val="21"/>
          <w:szCs w:val="20"/>
        </w:rPr>
        <w:instrText xml:space="preserve"> = 2 \* GB3 </w:instrText>
      </w:r>
      <w:r>
        <w:rPr>
          <w:rFonts w:ascii="Times New Roman" w:hAnsi="Times New Roman"/>
          <w:kern w:val="2"/>
          <w:sz w:val="21"/>
          <w:szCs w:val="20"/>
        </w:rPr>
        <w:fldChar w:fldCharType="separate"/>
      </w:r>
      <w:r>
        <w:rPr>
          <w:rFonts w:hint="eastAsia" w:hAnsi="宋体" w:cs="宋体"/>
          <w:kern w:val="2"/>
          <w:sz w:val="21"/>
          <w:szCs w:val="20"/>
        </w:rPr>
        <w:t>②</w:t>
      </w:r>
      <w:r>
        <w:rPr>
          <w:rFonts w:ascii="Times New Roman" w:hAnsi="Times New Roman"/>
          <w:kern w:val="2"/>
          <w:sz w:val="21"/>
          <w:szCs w:val="20"/>
        </w:rPr>
        <w:fldChar w:fldCharType="end"/>
      </w:r>
      <w:r>
        <w:rPr>
          <w:rFonts w:ascii="Times New Roman" w:hAnsi="Times New Roman"/>
          <w:kern w:val="2"/>
          <w:sz w:val="21"/>
        </w:rPr>
        <w:t>局</w:t>
      </w:r>
      <w:r>
        <w:rPr>
          <w:rFonts w:ascii="Times New Roman" w:hAnsi="Times New Roman"/>
          <w:color w:val="000000"/>
          <w:kern w:val="2"/>
          <w:sz w:val="21"/>
        </w:rPr>
        <w:t>部放电定位结果在图谱上集中性较强</w:t>
      </w:r>
      <w:r>
        <w:rPr>
          <w:rFonts w:ascii="Times New Roman" w:hAnsi="Times New Roman"/>
          <w:kern w:val="2"/>
          <w:sz w:val="21"/>
          <w:szCs w:val="20"/>
        </w:rPr>
        <w:t>；</w:t>
      </w:r>
      <w:r>
        <w:rPr>
          <w:rFonts w:ascii="Times New Roman" w:hAnsi="Times New Roman"/>
          <w:kern w:val="2"/>
          <w:sz w:val="21"/>
          <w:szCs w:val="20"/>
        </w:rPr>
        <w:fldChar w:fldCharType="begin"/>
      </w:r>
      <w:r>
        <w:rPr>
          <w:rFonts w:ascii="Times New Roman" w:hAnsi="Times New Roman"/>
          <w:kern w:val="2"/>
          <w:sz w:val="21"/>
          <w:szCs w:val="20"/>
        </w:rPr>
        <w:instrText xml:space="preserve"> = 3 \* GB3 </w:instrText>
      </w:r>
      <w:r>
        <w:rPr>
          <w:rFonts w:ascii="Times New Roman" w:hAnsi="Times New Roman"/>
          <w:kern w:val="2"/>
          <w:sz w:val="21"/>
          <w:szCs w:val="20"/>
        </w:rPr>
        <w:fldChar w:fldCharType="separate"/>
      </w:r>
      <w:r>
        <w:rPr>
          <w:rFonts w:hint="eastAsia" w:hAnsi="宋体" w:cs="宋体"/>
          <w:kern w:val="2"/>
          <w:sz w:val="21"/>
          <w:szCs w:val="20"/>
        </w:rPr>
        <w:t>③</w:t>
      </w:r>
      <w:r>
        <w:rPr>
          <w:rFonts w:ascii="Times New Roman" w:hAnsi="Times New Roman"/>
          <w:kern w:val="2"/>
          <w:sz w:val="21"/>
          <w:szCs w:val="20"/>
        </w:rPr>
        <w:fldChar w:fldCharType="end"/>
      </w:r>
      <w:r>
        <w:rPr>
          <w:rFonts w:ascii="Times New Roman" w:hAnsi="Times New Roman"/>
          <w:color w:val="000000"/>
          <w:kern w:val="2"/>
          <w:sz w:val="21"/>
        </w:rPr>
        <w:t>局部放电相位谱图呈现180°特征</w:t>
      </w:r>
      <w:r>
        <w:rPr>
          <w:rFonts w:ascii="Times New Roman" w:hAnsi="Times New Roman"/>
          <w:kern w:val="2"/>
          <w:sz w:val="21"/>
          <w:szCs w:val="20"/>
        </w:rPr>
        <w:t>；</w:t>
      </w:r>
      <w:r>
        <w:rPr>
          <w:rFonts w:ascii="Times New Roman" w:hAnsi="Times New Roman"/>
          <w:kern w:val="2"/>
          <w:sz w:val="21"/>
          <w:szCs w:val="20"/>
        </w:rPr>
        <w:fldChar w:fldCharType="begin"/>
      </w:r>
      <w:r>
        <w:rPr>
          <w:rFonts w:ascii="Times New Roman" w:hAnsi="Times New Roman"/>
          <w:kern w:val="2"/>
          <w:sz w:val="21"/>
          <w:szCs w:val="20"/>
        </w:rPr>
        <w:instrText xml:space="preserve"> = 4 \* GB3 </w:instrText>
      </w:r>
      <w:r>
        <w:rPr>
          <w:rFonts w:ascii="Times New Roman" w:hAnsi="Times New Roman"/>
          <w:kern w:val="2"/>
          <w:sz w:val="21"/>
          <w:szCs w:val="20"/>
        </w:rPr>
        <w:fldChar w:fldCharType="separate"/>
      </w:r>
      <w:r>
        <w:rPr>
          <w:rFonts w:hint="eastAsia" w:hAnsi="宋体" w:cs="宋体"/>
          <w:kern w:val="2"/>
          <w:sz w:val="21"/>
          <w:szCs w:val="20"/>
        </w:rPr>
        <w:t>④</w:t>
      </w:r>
      <w:r>
        <w:rPr>
          <w:rFonts w:ascii="Times New Roman" w:hAnsi="Times New Roman"/>
          <w:kern w:val="2"/>
          <w:sz w:val="21"/>
          <w:szCs w:val="20"/>
        </w:rPr>
        <w:fldChar w:fldCharType="end"/>
      </w:r>
      <w:r>
        <w:rPr>
          <w:rFonts w:ascii="Times New Roman" w:hAnsi="Times New Roman"/>
          <w:kern w:val="2"/>
          <w:sz w:val="21"/>
        </w:rPr>
        <w:t>能够</w:t>
      </w:r>
      <w:r>
        <w:rPr>
          <w:rFonts w:ascii="Times New Roman" w:hAnsi="Times New Roman"/>
          <w:color w:val="000000"/>
          <w:kern w:val="2"/>
          <w:sz w:val="21"/>
        </w:rPr>
        <w:t>较明显地区分出入射波和反射波。</w:t>
      </w:r>
    </w:p>
    <w:p>
      <w:pPr>
        <w:pStyle w:val="186"/>
        <w:numPr>
          <w:ilvl w:val="0"/>
          <w:numId w:val="1"/>
        </w:numPr>
        <w:tabs>
          <w:tab w:val="clear" w:pos="425"/>
        </w:tabs>
        <w:spacing w:before="312" w:after="312"/>
        <w:ind w:left="0" w:firstLine="0"/>
        <w:rPr>
          <w:rFonts w:ascii="Times New Roman" w:cs="Times New Roman"/>
        </w:rPr>
      </w:pPr>
      <w:bookmarkStart w:id="120" w:name="_Toc21935"/>
      <w:bookmarkStart w:id="121" w:name="_Toc305941240"/>
      <w:bookmarkStart w:id="122" w:name="_Toc417246357"/>
      <w:bookmarkStart w:id="123" w:name="_Toc26870"/>
      <w:bookmarkStart w:id="124" w:name="_Toc32450"/>
      <w:bookmarkStart w:id="125" w:name="_Toc305941529"/>
      <w:r>
        <w:rPr>
          <w:rFonts w:hint="eastAsia" w:ascii="Times New Roman" w:cs="Times New Roman"/>
        </w:rPr>
        <w:t>产品对环境的影响</w:t>
      </w:r>
      <w:bookmarkEnd w:id="120"/>
    </w:p>
    <w:bookmarkEnd w:id="105"/>
    <w:bookmarkEnd w:id="106"/>
    <w:bookmarkEnd w:id="121"/>
    <w:bookmarkEnd w:id="122"/>
    <w:bookmarkEnd w:id="123"/>
    <w:bookmarkEnd w:id="124"/>
    <w:bookmarkEnd w:id="125"/>
    <w:p>
      <w:pPr>
        <w:pStyle w:val="96"/>
        <w:spacing w:beforeLines="0" w:afterLines="0" w:line="360" w:lineRule="auto"/>
        <w:ind w:left="113" w:hanging="113"/>
        <w:outlineLvl w:val="9"/>
        <w:rPr>
          <w:rFonts w:ascii="Times New Roman" w:eastAsia="宋体"/>
          <w:sz w:val="21"/>
        </w:rPr>
      </w:pPr>
      <w:r>
        <w:rPr>
          <w:rFonts w:ascii="Times New Roman" w:eastAsia="宋体"/>
          <w:b/>
          <w:kern w:val="2"/>
          <w:sz w:val="21"/>
        </w:rPr>
        <w:t>7</w:t>
      </w:r>
      <w:bookmarkStart w:id="126" w:name="_Toc282537215"/>
      <w:bookmarkStart w:id="127" w:name="_Toc276490915"/>
      <w:bookmarkStart w:id="128" w:name="_Toc276492433"/>
      <w:r>
        <w:rPr>
          <w:rFonts w:ascii="Times New Roman" w:eastAsia="宋体"/>
          <w:b/>
          <w:kern w:val="2"/>
          <w:sz w:val="21"/>
        </w:rPr>
        <w:t>.1</w:t>
      </w:r>
      <w:r>
        <w:rPr>
          <w:rFonts w:hint="eastAsia" w:ascii="Times New Roman" w:eastAsia="宋体"/>
          <w:b/>
          <w:kern w:val="2"/>
          <w:sz w:val="21"/>
        </w:rPr>
        <w:t xml:space="preserve"> </w:t>
      </w:r>
      <w:r>
        <w:rPr>
          <w:rFonts w:hint="eastAsia" w:ascii="Times New Roman" w:eastAsia="宋体"/>
          <w:kern w:val="2"/>
          <w:sz w:val="21"/>
        </w:rPr>
        <w:t>坚持以资源节约型和环境友好型的原则，同时应考虑降低投资成本和提高运行经济性。</w:t>
      </w:r>
    </w:p>
    <w:p>
      <w:pPr>
        <w:pStyle w:val="96"/>
        <w:spacing w:beforeLines="0" w:afterLines="0" w:line="360" w:lineRule="auto"/>
        <w:ind w:left="424" w:hanging="424" w:hangingChars="201"/>
        <w:outlineLvl w:val="9"/>
        <w:rPr>
          <w:rFonts w:ascii="Times New Roman" w:eastAsia="宋体"/>
          <w:kern w:val="2"/>
          <w:sz w:val="21"/>
          <w:szCs w:val="24"/>
        </w:rPr>
      </w:pPr>
      <w:r>
        <w:rPr>
          <w:rFonts w:ascii="Times New Roman" w:eastAsia="宋体"/>
          <w:b/>
          <w:kern w:val="2"/>
          <w:sz w:val="21"/>
        </w:rPr>
        <w:t>7.2</w:t>
      </w:r>
      <w:r>
        <w:rPr>
          <w:rFonts w:hint="eastAsia" w:ascii="Times New Roman" w:eastAsia="宋体"/>
          <w:b/>
          <w:kern w:val="2"/>
          <w:sz w:val="21"/>
        </w:rPr>
        <w:t xml:space="preserve"> </w:t>
      </w:r>
      <w:r>
        <w:rPr>
          <w:rFonts w:hint="eastAsia" w:ascii="Times New Roman" w:eastAsia="宋体"/>
          <w:kern w:val="2"/>
          <w:sz w:val="21"/>
        </w:rPr>
        <w:t>应对噪声、工频电场和磁场、高频电磁波、通信干扰等方面采取必要的防治措施，并满足国家相关标准的要求。</w:t>
      </w:r>
    </w:p>
    <w:p>
      <w:pPr>
        <w:pStyle w:val="96"/>
        <w:spacing w:beforeLines="0" w:afterLines="0" w:line="360" w:lineRule="auto"/>
        <w:ind w:left="113" w:hanging="113"/>
        <w:outlineLvl w:val="9"/>
        <w:rPr>
          <w:rFonts w:ascii="Times New Roman" w:eastAsia="宋体"/>
          <w:kern w:val="2"/>
          <w:sz w:val="21"/>
          <w:szCs w:val="24"/>
        </w:rPr>
      </w:pPr>
      <w:r>
        <w:rPr>
          <w:rFonts w:ascii="Times New Roman" w:eastAsia="宋体"/>
          <w:b/>
          <w:kern w:val="2"/>
          <w:sz w:val="21"/>
        </w:rPr>
        <w:t>7.3</w:t>
      </w:r>
      <w:r>
        <w:rPr>
          <w:rFonts w:hint="eastAsia" w:ascii="Times New Roman" w:eastAsia="宋体"/>
          <w:b/>
          <w:kern w:val="2"/>
          <w:sz w:val="21"/>
        </w:rPr>
        <w:t xml:space="preserve"> </w:t>
      </w:r>
      <w:r>
        <w:rPr>
          <w:rFonts w:hint="eastAsia" w:ascii="Times New Roman" w:eastAsia="宋体"/>
          <w:kern w:val="2"/>
          <w:sz w:val="21"/>
        </w:rPr>
        <w:t>推广采用高可靠性、小型化和节能型设备。</w:t>
      </w:r>
    </w:p>
    <w:p>
      <w:pPr>
        <w:pStyle w:val="96"/>
        <w:spacing w:beforeLines="0" w:afterLines="0" w:line="360" w:lineRule="auto"/>
        <w:ind w:left="113" w:hanging="113"/>
        <w:outlineLvl w:val="9"/>
        <w:rPr>
          <w:rFonts w:ascii="Times New Roman" w:eastAsia="宋体"/>
          <w:kern w:val="2"/>
          <w:sz w:val="21"/>
          <w:szCs w:val="24"/>
        </w:rPr>
      </w:pPr>
      <w:r>
        <w:rPr>
          <w:rFonts w:ascii="Times New Roman" w:eastAsia="宋体"/>
          <w:b/>
          <w:kern w:val="2"/>
          <w:sz w:val="21"/>
        </w:rPr>
        <w:t>7.4</w:t>
      </w:r>
      <w:r>
        <w:rPr>
          <w:rFonts w:ascii="Times New Roman" w:hAnsi="Calibri" w:eastAsia="宋体"/>
          <w:b/>
          <w:sz w:val="21"/>
        </w:rPr>
        <w:t xml:space="preserve"> </w:t>
      </w:r>
      <w:r>
        <w:rPr>
          <w:rFonts w:hint="eastAsia" w:ascii="Times New Roman" w:eastAsia="宋体"/>
          <w:kern w:val="2"/>
          <w:sz w:val="21"/>
        </w:rPr>
        <w:t>优先选用损耗低的产品。</w:t>
      </w:r>
    </w:p>
    <w:bookmarkEnd w:id="126"/>
    <w:p>
      <w:pPr>
        <w:pStyle w:val="186"/>
        <w:numPr>
          <w:ilvl w:val="0"/>
          <w:numId w:val="1"/>
        </w:numPr>
        <w:tabs>
          <w:tab w:val="clear" w:pos="425"/>
        </w:tabs>
        <w:spacing w:before="312" w:after="312"/>
        <w:ind w:left="0" w:firstLine="0"/>
        <w:rPr>
          <w:rFonts w:ascii="Times New Roman" w:cs="Times New Roman"/>
        </w:rPr>
      </w:pPr>
      <w:bookmarkStart w:id="129" w:name="_Toc31152"/>
      <w:bookmarkStart w:id="130" w:name="_Toc305941530"/>
      <w:bookmarkStart w:id="131" w:name="_Toc734"/>
      <w:bookmarkStart w:id="132" w:name="_Toc417246358"/>
      <w:bookmarkStart w:id="133" w:name="_Toc305941241"/>
      <w:bookmarkStart w:id="134" w:name="_Toc6957"/>
      <w:r>
        <w:rPr>
          <w:rFonts w:hint="eastAsia" w:ascii="Times New Roman" w:cs="Times New Roman"/>
        </w:rPr>
        <w:t>企</w:t>
      </w:r>
      <w:bookmarkEnd w:id="127"/>
      <w:bookmarkEnd w:id="128"/>
      <w:r>
        <w:rPr>
          <w:rFonts w:hint="eastAsia" w:ascii="Times New Roman" w:cs="Times New Roman"/>
        </w:rPr>
        <w:t>业</w:t>
      </w:r>
      <w:r>
        <w:rPr>
          <w:rFonts w:ascii="Times New Roman" w:cs="Times New Roman"/>
        </w:rPr>
        <w:t>VI标识</w:t>
      </w:r>
      <w:bookmarkEnd w:id="129"/>
    </w:p>
    <w:bookmarkEnd w:id="130"/>
    <w:bookmarkEnd w:id="131"/>
    <w:bookmarkEnd w:id="132"/>
    <w:bookmarkEnd w:id="133"/>
    <w:bookmarkEnd w:id="134"/>
    <w:p>
      <w:pPr>
        <w:pStyle w:val="71"/>
        <w:adjustRightInd w:val="0"/>
        <w:spacing w:line="360" w:lineRule="auto"/>
        <w:ind w:firstLine="480"/>
        <w:rPr>
          <w:rFonts w:ascii="Times New Roman" w:hAnsi="Times New Roman" w:eastAsia="宋体"/>
          <w:sz w:val="24"/>
          <w:szCs w:val="24"/>
        </w:rPr>
      </w:pPr>
      <w:bookmarkStart w:id="135" w:name="_Toc276492434"/>
      <w:bookmarkStart w:id="136" w:name="_Toc276490916"/>
      <w:bookmarkStart w:id="137" w:name="_Toc277686863"/>
      <w:bookmarkStart w:id="138" w:name="_Toc279695206"/>
      <w:r>
        <w:rPr>
          <w:rFonts w:ascii="Times New Roman" w:hAnsi="Times New Roman" w:eastAsia="宋体"/>
          <w:sz w:val="24"/>
          <w:szCs w:val="24"/>
        </w:rPr>
        <w:t>供应商名称、产品型号</w:t>
      </w:r>
      <w:r>
        <w:rPr>
          <w:rFonts w:hint="eastAsia" w:ascii="Times New Roman" w:hAnsi="Times New Roman" w:eastAsia="宋体"/>
          <w:sz w:val="24"/>
          <w:szCs w:val="24"/>
        </w:rPr>
        <w:t>、冷缩硅橡胶主体上应模制供应商标识及冷缩管预扩张日期（精确到月）。</w:t>
      </w:r>
    </w:p>
    <w:p>
      <w:pPr>
        <w:pStyle w:val="186"/>
        <w:numPr>
          <w:ilvl w:val="0"/>
          <w:numId w:val="1"/>
        </w:numPr>
        <w:tabs>
          <w:tab w:val="clear" w:pos="425"/>
        </w:tabs>
        <w:spacing w:before="312" w:after="312"/>
        <w:ind w:left="0" w:firstLine="0"/>
        <w:rPr>
          <w:rFonts w:ascii="Times New Roman" w:cs="Times New Roman"/>
        </w:rPr>
      </w:pPr>
      <w:bookmarkStart w:id="139" w:name="_Toc282433757"/>
      <w:bookmarkStart w:id="140" w:name="_Toc282993358"/>
      <w:bookmarkStart w:id="141" w:name="_Toc292025360"/>
      <w:bookmarkStart w:id="142" w:name="_Toc30061"/>
      <w:bookmarkStart w:id="143" w:name="_Toc405368429"/>
      <w:r>
        <w:rPr>
          <w:rFonts w:ascii="Times New Roman" w:cs="Times New Roman"/>
        </w:rPr>
        <w:t>技术文件</w:t>
      </w:r>
      <w:bookmarkEnd w:id="139"/>
      <w:bookmarkEnd w:id="140"/>
      <w:r>
        <w:rPr>
          <w:rFonts w:ascii="Times New Roman" w:cs="Times New Roman"/>
        </w:rPr>
        <w:t>要求</w:t>
      </w:r>
      <w:bookmarkEnd w:id="141"/>
      <w:bookmarkEnd w:id="142"/>
      <w:bookmarkEnd w:id="143"/>
    </w:p>
    <w:p>
      <w:pPr>
        <w:pStyle w:val="188"/>
        <w:rPr>
          <w:rFonts w:ascii="Times New Roman" w:cs="Times New Roman"/>
          <w:b/>
        </w:rPr>
      </w:pPr>
      <w:bookmarkStart w:id="144" w:name="_Toc405368430"/>
      <w:bookmarkStart w:id="145" w:name="_Toc9832"/>
      <w:bookmarkStart w:id="146" w:name="_Toc292025361"/>
      <w:r>
        <w:rPr>
          <w:rFonts w:ascii="Times New Roman" w:cs="Times New Roman"/>
          <w:b/>
        </w:rPr>
        <w:t>9.1</w:t>
      </w:r>
      <w:r>
        <w:rPr>
          <w:rFonts w:ascii="Times New Roman" w:cs="Times New Roman"/>
        </w:rPr>
        <w:t>一般要求</w:t>
      </w:r>
      <w:bookmarkEnd w:id="144"/>
      <w:bookmarkEnd w:id="145"/>
      <w:bookmarkEnd w:id="146"/>
    </w:p>
    <w:p>
      <w:pPr>
        <w:spacing w:line="360" w:lineRule="auto"/>
        <w:rPr>
          <w:rFonts w:ascii="宋体" w:hAnsi="宋体"/>
          <w:color w:val="000000"/>
        </w:rPr>
      </w:pPr>
      <w:r>
        <w:rPr>
          <w:rFonts w:eastAsia="黑体"/>
          <w:b/>
          <w:kern w:val="0"/>
          <w:szCs w:val="20"/>
        </w:rPr>
        <w:t>9.1.1</w:t>
      </w:r>
      <w:r>
        <w:rPr>
          <w:rFonts w:hint="eastAsia" w:ascii="宋体" w:hAnsi="宋体"/>
          <w:b/>
          <w:color w:val="000000"/>
        </w:rPr>
        <w:t xml:space="preserve"> </w:t>
      </w:r>
      <w:r>
        <w:rPr>
          <w:szCs w:val="20"/>
        </w:rPr>
        <w:t>投标方提供的图纸、资料、文件应使用国家法定单位制即国际单位制，语言为中文。</w:t>
      </w:r>
    </w:p>
    <w:p>
      <w:pPr>
        <w:spacing w:line="360" w:lineRule="auto"/>
        <w:rPr>
          <w:szCs w:val="20"/>
        </w:rPr>
      </w:pPr>
      <w:r>
        <w:rPr>
          <w:rFonts w:eastAsia="黑体"/>
          <w:b/>
          <w:kern w:val="0"/>
          <w:szCs w:val="20"/>
        </w:rPr>
        <w:t>9.1.2</w:t>
      </w:r>
      <w:r>
        <w:rPr>
          <w:rFonts w:hint="eastAsia" w:eastAsia="黑体"/>
          <w:b/>
          <w:kern w:val="0"/>
          <w:szCs w:val="20"/>
        </w:rPr>
        <w:t xml:space="preserve"> </w:t>
      </w:r>
      <w:r>
        <w:rPr>
          <w:szCs w:val="20"/>
        </w:rPr>
        <w:t>资料的组织结构清晰、逻辑性强。资料内容要正确、准确、一致、清晰、完整，满足工程要求。</w:t>
      </w:r>
    </w:p>
    <w:p>
      <w:pPr>
        <w:spacing w:line="360" w:lineRule="auto"/>
        <w:rPr>
          <w:szCs w:val="20"/>
        </w:rPr>
      </w:pPr>
      <w:r>
        <w:rPr>
          <w:rFonts w:eastAsia="黑体"/>
          <w:b/>
          <w:kern w:val="0"/>
          <w:szCs w:val="20"/>
        </w:rPr>
        <w:t>9.1.3</w:t>
      </w:r>
      <w:r>
        <w:rPr>
          <w:rFonts w:hint="eastAsia" w:ascii="宋体" w:hAnsi="宋体"/>
          <w:b/>
          <w:color w:val="000000"/>
        </w:rPr>
        <w:t xml:space="preserve"> </w:t>
      </w:r>
      <w:r>
        <w:rPr>
          <w:szCs w:val="20"/>
        </w:rPr>
        <w:t>投标方及时提交完整的资料，满足工程进度要求。自收到中标通知书日起，投标方应按照专用部分规定的时间提交全部的技术资料，经招标方确认后不得更改。</w:t>
      </w:r>
    </w:p>
    <w:p>
      <w:pPr>
        <w:spacing w:line="360" w:lineRule="auto"/>
        <w:rPr>
          <w:szCs w:val="20"/>
        </w:rPr>
      </w:pPr>
      <w:r>
        <w:rPr>
          <w:rFonts w:eastAsia="黑体"/>
          <w:b/>
          <w:kern w:val="0"/>
          <w:szCs w:val="20"/>
        </w:rPr>
        <w:t xml:space="preserve">9.1.4 </w:t>
      </w:r>
      <w:r>
        <w:rPr>
          <w:szCs w:val="20"/>
        </w:rPr>
        <w:t>对于未列入合同的技术资料清单，且是工程所必需的文件、资料，投标方应及时免费提供。项目工程采购的设备如有后续（全部或部分）改进时，投标方应及时免费提供新的技术资料。</w:t>
      </w:r>
    </w:p>
    <w:p>
      <w:pPr>
        <w:spacing w:line="360" w:lineRule="auto"/>
        <w:rPr>
          <w:szCs w:val="20"/>
        </w:rPr>
      </w:pPr>
      <w:r>
        <w:rPr>
          <w:rFonts w:eastAsia="黑体"/>
          <w:b/>
          <w:kern w:val="0"/>
          <w:szCs w:val="20"/>
        </w:rPr>
        <w:t>9.1.5</w:t>
      </w:r>
      <w:r>
        <w:rPr>
          <w:rFonts w:hint="eastAsia" w:eastAsia="黑体"/>
          <w:b/>
          <w:kern w:val="0"/>
          <w:szCs w:val="20"/>
        </w:rPr>
        <w:t xml:space="preserve"> </w:t>
      </w:r>
      <w:r>
        <w:rPr>
          <w:szCs w:val="20"/>
        </w:rPr>
        <w:t>“工厂图纸”包括制造、装配、安装和布置图、接线图、控制图、材料和设备的清单或表格、标准图、设计计算书、说明书、样本、小册子、特性图表、试验报告，以及与材料、设备和管道系统设计有关的图纸和说明等。</w:t>
      </w:r>
    </w:p>
    <w:p>
      <w:pPr>
        <w:spacing w:line="360" w:lineRule="auto"/>
      </w:pPr>
      <w:r>
        <w:rPr>
          <w:rFonts w:eastAsia="黑体"/>
          <w:b/>
          <w:kern w:val="0"/>
          <w:szCs w:val="20"/>
        </w:rPr>
        <w:t>9.1.6</w:t>
      </w:r>
      <w:r>
        <w:rPr>
          <w:rFonts w:hint="eastAsia" w:eastAsia="黑体"/>
          <w:b/>
          <w:kern w:val="0"/>
          <w:szCs w:val="20"/>
        </w:rPr>
        <w:t xml:space="preserve"> </w:t>
      </w:r>
      <w:r>
        <w:rPr>
          <w:szCs w:val="20"/>
        </w:rPr>
        <w:t>投标方应在设备生产前将“工厂图纸”提交给招标方审查认可，未经审查认可，不得进行备料和生产。</w:t>
      </w:r>
    </w:p>
    <w:p>
      <w:pPr>
        <w:spacing w:line="360" w:lineRule="auto"/>
        <w:rPr>
          <w:szCs w:val="20"/>
        </w:rPr>
      </w:pPr>
      <w:r>
        <w:rPr>
          <w:rFonts w:eastAsia="黑体"/>
          <w:b/>
          <w:kern w:val="0"/>
          <w:szCs w:val="20"/>
        </w:rPr>
        <w:t>9.1.7</w:t>
      </w:r>
      <w:r>
        <w:rPr>
          <w:rFonts w:ascii="宋体" w:hAnsi="宋体"/>
          <w:b/>
          <w:color w:val="000000"/>
        </w:rPr>
        <w:t xml:space="preserve"> </w:t>
      </w:r>
      <w:r>
        <w:rPr>
          <w:szCs w:val="20"/>
        </w:rPr>
        <w:t>投标方提供的设备及附件规格、重量或接线有变化时，应及时书面通知招标方。</w:t>
      </w:r>
    </w:p>
    <w:p>
      <w:pPr>
        <w:spacing w:line="360" w:lineRule="auto"/>
      </w:pPr>
      <w:r>
        <w:rPr>
          <w:rFonts w:eastAsia="黑体"/>
          <w:b/>
          <w:kern w:val="0"/>
          <w:szCs w:val="20"/>
        </w:rPr>
        <w:t>9.1.8</w:t>
      </w:r>
      <w:r>
        <w:rPr>
          <w:rFonts w:hint="eastAsia" w:eastAsia="黑体"/>
          <w:b/>
          <w:kern w:val="0"/>
          <w:szCs w:val="20"/>
        </w:rPr>
        <w:t xml:space="preserve"> </w:t>
      </w:r>
      <w:r>
        <w:t>现</w:t>
      </w:r>
      <w:r>
        <w:rPr>
          <w:szCs w:val="20"/>
        </w:rPr>
        <w:t>场安装和试验应在投标方的技术指导和监督下由招标方完成，在安装过程中，如发现有质量问题，投标方应及时解决，并提供备品、备件，做好销售服务工作。</w:t>
      </w:r>
    </w:p>
    <w:p>
      <w:pPr>
        <w:spacing w:line="360" w:lineRule="auto"/>
      </w:pPr>
      <w:r>
        <w:rPr>
          <w:rFonts w:eastAsia="黑体"/>
          <w:b/>
          <w:kern w:val="0"/>
          <w:szCs w:val="20"/>
        </w:rPr>
        <w:t xml:space="preserve">9.1.9 </w:t>
      </w:r>
      <w:r>
        <w:rPr>
          <w:szCs w:val="20"/>
        </w:rPr>
        <w:t>投标方协助招标方按标准检查安装质量，及时处理调试、投运过程中出现的问题。当发现设备质量问题，投标方应及时采取措施解决。</w:t>
      </w:r>
    </w:p>
    <w:p>
      <w:pPr>
        <w:spacing w:line="360" w:lineRule="auto"/>
        <w:rPr>
          <w:rFonts w:ascii="宋体" w:hAnsi="宋体"/>
          <w:color w:val="000000"/>
        </w:rPr>
      </w:pPr>
      <w:r>
        <w:rPr>
          <w:rFonts w:eastAsia="黑体"/>
          <w:b/>
          <w:kern w:val="0"/>
          <w:szCs w:val="20"/>
        </w:rPr>
        <w:t>9.1.10</w:t>
      </w:r>
      <w:r>
        <w:rPr>
          <w:rFonts w:hint="eastAsia" w:eastAsia="黑体"/>
          <w:b/>
          <w:kern w:val="0"/>
          <w:szCs w:val="20"/>
        </w:rPr>
        <w:t xml:space="preserve"> </w:t>
      </w:r>
      <w:r>
        <w:rPr>
          <w:szCs w:val="20"/>
        </w:rPr>
        <w:t>投标方应选派有经验的技术人员，对安装和运行人员免费培训，具体培训人次及时间等要求遵循技术规范书专用部分条款。</w:t>
      </w:r>
    </w:p>
    <w:p>
      <w:pPr>
        <w:spacing w:line="360" w:lineRule="auto"/>
        <w:rPr>
          <w:rFonts w:ascii="宋体" w:hAnsi="宋体"/>
          <w:color w:val="000000"/>
        </w:rPr>
      </w:pPr>
      <w:r>
        <w:rPr>
          <w:rFonts w:eastAsia="黑体"/>
          <w:b/>
          <w:kern w:val="0"/>
          <w:szCs w:val="20"/>
        </w:rPr>
        <w:t>9.1.11</w:t>
      </w:r>
      <w:r>
        <w:rPr>
          <w:rFonts w:hint="eastAsia" w:eastAsia="黑体"/>
          <w:b/>
          <w:kern w:val="0"/>
          <w:szCs w:val="20"/>
        </w:rPr>
        <w:t xml:space="preserve"> </w:t>
      </w:r>
      <w:r>
        <w:rPr>
          <w:szCs w:val="20"/>
        </w:rPr>
        <w:t>投标方应协助招标方解决设备运行过程中出现的问题。</w:t>
      </w:r>
    </w:p>
    <w:p>
      <w:pPr>
        <w:spacing w:line="360" w:lineRule="auto"/>
        <w:rPr>
          <w:szCs w:val="20"/>
        </w:rPr>
      </w:pPr>
      <w:r>
        <w:rPr>
          <w:rFonts w:eastAsia="黑体"/>
          <w:b/>
          <w:kern w:val="0"/>
          <w:szCs w:val="20"/>
        </w:rPr>
        <w:t>9.1.12</w:t>
      </w:r>
      <w:r>
        <w:rPr>
          <w:rFonts w:ascii="宋体" w:hAnsi="宋体"/>
          <w:color w:val="000000"/>
        </w:rPr>
        <w:t xml:space="preserve"> </w:t>
      </w:r>
      <w:r>
        <w:rPr>
          <w:szCs w:val="20"/>
        </w:rPr>
        <w:t>投标方应在</w:t>
      </w:r>
      <w:r>
        <w:rPr>
          <w:rFonts w:hint="eastAsia"/>
          <w:szCs w:val="20"/>
        </w:rPr>
        <w:t>15</w:t>
      </w:r>
      <w:r>
        <w:rPr>
          <w:szCs w:val="20"/>
        </w:rPr>
        <w:t>年使用寿命期限内，提供设备所需的备品备件。</w:t>
      </w:r>
    </w:p>
    <w:p>
      <w:pPr>
        <w:pStyle w:val="188"/>
        <w:rPr>
          <w:rFonts w:ascii="Times New Roman" w:cs="Times New Roman"/>
          <w:b/>
        </w:rPr>
      </w:pPr>
      <w:bookmarkStart w:id="147" w:name="_Toc21655"/>
      <w:bookmarkStart w:id="148" w:name="_Toc292025362"/>
      <w:bookmarkStart w:id="149" w:name="_Toc405368431"/>
      <w:r>
        <w:rPr>
          <w:rFonts w:ascii="Times New Roman" w:cs="Times New Roman"/>
          <w:b/>
        </w:rPr>
        <w:t xml:space="preserve">9.2 </w:t>
      </w:r>
      <w:r>
        <w:rPr>
          <w:rFonts w:ascii="Times New Roman" w:cs="Times New Roman"/>
        </w:rPr>
        <w:t>资料文件</w:t>
      </w:r>
      <w:bookmarkEnd w:id="147"/>
      <w:bookmarkEnd w:id="148"/>
      <w:bookmarkEnd w:id="149"/>
    </w:p>
    <w:p>
      <w:pPr>
        <w:pStyle w:val="19"/>
        <w:spacing w:line="360" w:lineRule="auto"/>
        <w:rPr>
          <w:rFonts w:ascii="Times New Roman" w:hAnsi="Times New Roman"/>
          <w:kern w:val="2"/>
          <w:sz w:val="21"/>
        </w:rPr>
      </w:pPr>
      <w:r>
        <w:rPr>
          <w:rFonts w:ascii="Times New Roman" w:hAnsi="Times New Roman" w:eastAsia="黑体"/>
          <w:b/>
          <w:sz w:val="21"/>
          <w:szCs w:val="20"/>
        </w:rPr>
        <w:t>9.2.1</w:t>
      </w:r>
      <w:r>
        <w:rPr>
          <w:rFonts w:hAnsi="宋体"/>
          <w:color w:val="000000"/>
        </w:rPr>
        <w:t xml:space="preserve"> </w:t>
      </w:r>
      <w:r>
        <w:rPr>
          <w:rFonts w:ascii="Times New Roman" w:hAnsi="Times New Roman"/>
          <w:kern w:val="2"/>
          <w:sz w:val="21"/>
          <w:szCs w:val="20"/>
        </w:rPr>
        <w:t>随同投标文件一起提供的一般性资料，详见表7。</w:t>
      </w:r>
    </w:p>
    <w:p>
      <w:pPr>
        <w:pStyle w:val="184"/>
      </w:pPr>
      <w:r>
        <w:t>表7</w:t>
      </w:r>
      <w:r>
        <w:rPr>
          <w:rFonts w:hint="eastAsia"/>
        </w:rPr>
        <w:t xml:space="preserve"> </w:t>
      </w:r>
      <w:r>
        <w:t xml:space="preserve"> 随同投标文件需提供的资料</w:t>
      </w:r>
    </w:p>
    <w:tbl>
      <w:tblPr>
        <w:tblStyle w:val="38"/>
        <w:tblW w:w="728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12"/>
        <w:gridCol w:w="647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12" w:type="dxa"/>
            <w:vAlign w:val="center"/>
          </w:tcPr>
          <w:p>
            <w:pPr>
              <w:adjustRightInd w:val="0"/>
              <w:jc w:val="center"/>
              <w:rPr>
                <w:sz w:val="18"/>
                <w:szCs w:val="18"/>
              </w:rPr>
            </w:pPr>
            <w:r>
              <w:rPr>
                <w:sz w:val="18"/>
                <w:szCs w:val="18"/>
              </w:rPr>
              <w:t>序号</w:t>
            </w:r>
          </w:p>
        </w:tc>
        <w:tc>
          <w:tcPr>
            <w:tcW w:w="6470" w:type="dxa"/>
            <w:vAlign w:val="center"/>
          </w:tcPr>
          <w:p>
            <w:pPr>
              <w:adjustRightInd w:val="0"/>
              <w:jc w:val="center"/>
              <w:rPr>
                <w:sz w:val="18"/>
                <w:szCs w:val="18"/>
              </w:rPr>
            </w:pPr>
            <w:r>
              <w:rPr>
                <w:sz w:val="18"/>
                <w:szCs w:val="18"/>
              </w:rPr>
              <w:t>需提供的资料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12" w:type="dxa"/>
            <w:vAlign w:val="center"/>
          </w:tcPr>
          <w:p>
            <w:pPr>
              <w:adjustRightInd w:val="0"/>
              <w:jc w:val="center"/>
              <w:rPr>
                <w:sz w:val="18"/>
                <w:szCs w:val="18"/>
              </w:rPr>
            </w:pPr>
            <w:r>
              <w:rPr>
                <w:sz w:val="18"/>
                <w:szCs w:val="18"/>
              </w:rPr>
              <w:t>1</w:t>
            </w:r>
          </w:p>
        </w:tc>
        <w:tc>
          <w:tcPr>
            <w:tcW w:w="6470" w:type="dxa"/>
            <w:vAlign w:val="center"/>
          </w:tcPr>
          <w:p>
            <w:pPr>
              <w:adjustRightInd w:val="0"/>
              <w:rPr>
                <w:sz w:val="18"/>
                <w:szCs w:val="18"/>
              </w:rPr>
            </w:pPr>
            <w:r>
              <w:rPr>
                <w:rFonts w:hint="eastAsia"/>
                <w:sz w:val="18"/>
                <w:szCs w:val="18"/>
              </w:rPr>
              <w:t>10kV冷缩型电缆附件</w:t>
            </w:r>
            <w:r>
              <w:rPr>
                <w:sz w:val="18"/>
                <w:szCs w:val="18"/>
              </w:rPr>
              <w:t>型式试验报告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12" w:type="dxa"/>
            <w:vAlign w:val="center"/>
          </w:tcPr>
          <w:p>
            <w:pPr>
              <w:adjustRightInd w:val="0"/>
              <w:jc w:val="center"/>
              <w:rPr>
                <w:sz w:val="18"/>
                <w:szCs w:val="18"/>
              </w:rPr>
            </w:pPr>
            <w:r>
              <w:rPr>
                <w:sz w:val="18"/>
                <w:szCs w:val="18"/>
              </w:rPr>
              <w:t>2</w:t>
            </w:r>
          </w:p>
        </w:tc>
        <w:tc>
          <w:tcPr>
            <w:tcW w:w="6470" w:type="dxa"/>
            <w:vAlign w:val="center"/>
          </w:tcPr>
          <w:p>
            <w:pPr>
              <w:adjustRightInd w:val="0"/>
              <w:rPr>
                <w:sz w:val="18"/>
                <w:szCs w:val="18"/>
              </w:rPr>
            </w:pPr>
            <w:r>
              <w:rPr>
                <w:sz w:val="18"/>
                <w:szCs w:val="18"/>
              </w:rPr>
              <w:t>对应应标设备型号的安装使用说明书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12" w:type="dxa"/>
            <w:vAlign w:val="center"/>
          </w:tcPr>
          <w:p>
            <w:pPr>
              <w:adjustRightInd w:val="0"/>
              <w:jc w:val="center"/>
              <w:rPr>
                <w:sz w:val="18"/>
                <w:szCs w:val="18"/>
              </w:rPr>
            </w:pPr>
            <w:r>
              <w:rPr>
                <w:sz w:val="18"/>
                <w:szCs w:val="18"/>
              </w:rPr>
              <w:t>3</w:t>
            </w:r>
          </w:p>
        </w:tc>
        <w:tc>
          <w:tcPr>
            <w:tcW w:w="6470" w:type="dxa"/>
            <w:vAlign w:val="center"/>
          </w:tcPr>
          <w:p>
            <w:pPr>
              <w:adjustRightInd w:val="0"/>
              <w:rPr>
                <w:sz w:val="18"/>
                <w:szCs w:val="18"/>
              </w:rPr>
            </w:pPr>
            <w:r>
              <w:rPr>
                <w:sz w:val="18"/>
                <w:szCs w:val="18"/>
              </w:rPr>
              <w:t>按南网规定模版编制的对应应标</w:t>
            </w:r>
            <w:r>
              <w:rPr>
                <w:rFonts w:hint="eastAsia"/>
                <w:sz w:val="18"/>
                <w:szCs w:val="18"/>
              </w:rPr>
              <w:t>10kV冷缩型电缆附件</w:t>
            </w:r>
            <w:r>
              <w:rPr>
                <w:sz w:val="18"/>
                <w:szCs w:val="18"/>
              </w:rPr>
              <w:t>型号的维护检修手册</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12" w:type="dxa"/>
            <w:vAlign w:val="center"/>
          </w:tcPr>
          <w:p>
            <w:pPr>
              <w:adjustRightInd w:val="0"/>
              <w:jc w:val="center"/>
              <w:rPr>
                <w:sz w:val="18"/>
                <w:szCs w:val="18"/>
              </w:rPr>
            </w:pPr>
            <w:r>
              <w:rPr>
                <w:sz w:val="18"/>
                <w:szCs w:val="18"/>
              </w:rPr>
              <w:t>4</w:t>
            </w:r>
          </w:p>
        </w:tc>
        <w:tc>
          <w:tcPr>
            <w:tcW w:w="6470" w:type="dxa"/>
            <w:vAlign w:val="center"/>
          </w:tcPr>
          <w:p>
            <w:pPr>
              <w:adjustRightInd w:val="0"/>
              <w:rPr>
                <w:sz w:val="18"/>
                <w:szCs w:val="18"/>
              </w:rPr>
            </w:pPr>
            <w:r>
              <w:rPr>
                <w:sz w:val="18"/>
                <w:szCs w:val="18"/>
              </w:rPr>
              <w:t>确保质量控制的检测设备清单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12" w:type="dxa"/>
            <w:vAlign w:val="center"/>
          </w:tcPr>
          <w:p>
            <w:pPr>
              <w:adjustRightInd w:val="0"/>
              <w:jc w:val="center"/>
              <w:rPr>
                <w:sz w:val="18"/>
                <w:szCs w:val="18"/>
              </w:rPr>
            </w:pPr>
            <w:r>
              <w:rPr>
                <w:sz w:val="18"/>
                <w:szCs w:val="18"/>
              </w:rPr>
              <w:t>5</w:t>
            </w:r>
          </w:p>
        </w:tc>
        <w:tc>
          <w:tcPr>
            <w:tcW w:w="6470" w:type="dxa"/>
            <w:vAlign w:val="center"/>
          </w:tcPr>
          <w:p>
            <w:pPr>
              <w:adjustRightInd w:val="0"/>
              <w:rPr>
                <w:sz w:val="18"/>
                <w:szCs w:val="18"/>
              </w:rPr>
            </w:pPr>
            <w:r>
              <w:rPr>
                <w:sz w:val="18"/>
                <w:szCs w:val="18"/>
              </w:rPr>
              <w:t>厂家易损件清单</w:t>
            </w:r>
          </w:p>
        </w:tc>
      </w:tr>
    </w:tbl>
    <w:p>
      <w:pPr>
        <w:pStyle w:val="19"/>
        <w:spacing w:line="360" w:lineRule="auto"/>
        <w:rPr>
          <w:rFonts w:ascii="Times New Roman" w:hAnsi="Times New Roman"/>
          <w:kern w:val="2"/>
          <w:sz w:val="21"/>
          <w:szCs w:val="20"/>
        </w:rPr>
      </w:pPr>
      <w:r>
        <w:rPr>
          <w:rFonts w:ascii="Times New Roman" w:hAnsi="Times New Roman" w:eastAsia="黑体"/>
          <w:b/>
          <w:sz w:val="21"/>
          <w:szCs w:val="20"/>
        </w:rPr>
        <w:t>9.2.2</w:t>
      </w:r>
      <w:r>
        <w:rPr>
          <w:rFonts w:hAnsi="宋体"/>
          <w:color w:val="000000"/>
        </w:rPr>
        <w:t xml:space="preserve"> </w:t>
      </w:r>
      <w:r>
        <w:rPr>
          <w:rFonts w:ascii="Times New Roman" w:hAnsi="Times New Roman"/>
          <w:kern w:val="2"/>
          <w:sz w:val="21"/>
          <w:szCs w:val="20"/>
        </w:rPr>
        <w:t>在技术协议签订10天内，投标方向招标方提供相关图纸资料及其AutoCAD格式的电子文档光盘2份，具体如下：</w:t>
      </w:r>
    </w:p>
    <w:p>
      <w:pPr>
        <w:adjustRightInd w:val="0"/>
        <w:spacing w:line="360" w:lineRule="auto"/>
        <w:ind w:firstLine="420" w:firstLineChars="200"/>
        <w:rPr>
          <w:color w:val="000000"/>
        </w:rPr>
      </w:pPr>
      <w:r>
        <w:rPr>
          <w:rFonts w:hint="eastAsia"/>
          <w:color w:val="000000"/>
        </w:rPr>
        <w:t>图纸资料</w:t>
      </w:r>
    </w:p>
    <w:p>
      <w:pPr>
        <w:adjustRightInd w:val="0"/>
        <w:spacing w:line="360" w:lineRule="auto"/>
        <w:ind w:firstLine="420" w:firstLineChars="200"/>
        <w:rPr>
          <w:color w:val="000000"/>
        </w:rPr>
      </w:pPr>
      <w:r>
        <w:rPr>
          <w:rFonts w:hint="eastAsia"/>
          <w:color w:val="000000"/>
        </w:rPr>
        <w:t>1）电场强度计算书。</w:t>
      </w:r>
    </w:p>
    <w:p>
      <w:pPr>
        <w:adjustRightInd w:val="0"/>
        <w:spacing w:line="360" w:lineRule="auto"/>
        <w:ind w:firstLine="420" w:firstLineChars="200"/>
        <w:rPr>
          <w:color w:val="000000"/>
        </w:rPr>
      </w:pPr>
      <w:r>
        <w:rPr>
          <w:rFonts w:hint="eastAsia"/>
          <w:color w:val="000000"/>
        </w:rPr>
        <w:t>2）绝缘填充剂技术参数</w:t>
      </w:r>
    </w:p>
    <w:p>
      <w:pPr>
        <w:adjustRightInd w:val="0"/>
        <w:spacing w:line="360" w:lineRule="auto"/>
        <w:ind w:firstLine="420" w:firstLineChars="200"/>
        <w:rPr>
          <w:color w:val="000000"/>
        </w:rPr>
      </w:pPr>
      <w:r>
        <w:rPr>
          <w:rFonts w:hint="eastAsia"/>
          <w:color w:val="000000"/>
        </w:rPr>
        <w:t>3）电缆附件安装所需专用工具的类型及生产厂家。</w:t>
      </w:r>
    </w:p>
    <w:p>
      <w:pPr>
        <w:adjustRightInd w:val="0"/>
        <w:spacing w:line="360" w:lineRule="auto"/>
        <w:ind w:firstLine="420" w:firstLineChars="200"/>
        <w:rPr>
          <w:color w:val="000000"/>
        </w:rPr>
      </w:pPr>
      <w:r>
        <w:rPr>
          <w:rFonts w:hint="eastAsia"/>
          <w:color w:val="000000"/>
        </w:rPr>
        <w:t>4）电缆附件安装所需的其他技术文件。</w:t>
      </w:r>
    </w:p>
    <w:p>
      <w:pPr>
        <w:adjustRightInd w:val="0"/>
        <w:spacing w:line="360" w:lineRule="auto"/>
        <w:ind w:firstLine="420" w:firstLineChars="200"/>
        <w:rPr>
          <w:color w:val="000000"/>
        </w:rPr>
      </w:pPr>
      <w:r>
        <w:rPr>
          <w:rFonts w:hint="eastAsia"/>
          <w:color w:val="000000"/>
        </w:rPr>
        <w:t>5）生产厂家出厂试验报告、合格证。</w:t>
      </w:r>
    </w:p>
    <w:p>
      <w:pPr>
        <w:adjustRightInd w:val="0"/>
        <w:spacing w:line="360" w:lineRule="auto"/>
        <w:ind w:firstLine="420" w:firstLineChars="200"/>
        <w:rPr>
          <w:color w:val="000000"/>
        </w:rPr>
      </w:pPr>
      <w:r>
        <w:rPr>
          <w:rFonts w:hint="eastAsia"/>
          <w:color w:val="000000"/>
        </w:rPr>
        <w:t>投标方所有图纸和文件资料必须经过有关程序审批并加盖公章。</w:t>
      </w:r>
      <w:bookmarkStart w:id="150" w:name="_Toc282428315"/>
      <w:bookmarkStart w:id="151" w:name="_Toc283011675"/>
      <w:bookmarkStart w:id="152" w:name="_Toc283142581"/>
      <w:bookmarkStart w:id="153" w:name="_Toc282433723"/>
      <w:bookmarkStart w:id="154" w:name="_Toc292025363"/>
    </w:p>
    <w:p>
      <w:pPr>
        <w:pStyle w:val="188"/>
        <w:rPr>
          <w:rFonts w:ascii="Times New Roman" w:cs="Times New Roman"/>
          <w:b/>
        </w:rPr>
      </w:pPr>
      <w:bookmarkStart w:id="155" w:name="_Toc15768"/>
      <w:r>
        <w:rPr>
          <w:rFonts w:hint="eastAsia" w:ascii="Times New Roman" w:cs="Times New Roman"/>
          <w:b/>
        </w:rPr>
        <w:t xml:space="preserve">9.3 </w:t>
      </w:r>
      <w:r>
        <w:rPr>
          <w:rFonts w:hint="eastAsia" w:ascii="Times New Roman" w:cs="Times New Roman"/>
        </w:rPr>
        <w:t>技术服务</w:t>
      </w:r>
      <w:bookmarkEnd w:id="155"/>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1）现场安装和试验在投标方的技术指导和监督下由招标方完成，在安装过程中，如发现有质量问题，投标方应及时解决，并提供备品、备件，做好销售服务工作。</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2）投标方协助招标方按标准检查安装质量，及时处理调试投运过程中出现的问题。当发生设备质量问题，应及时采取措施解决。</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3）投标方应选派有经验的技术人员，对安装和运行人员免费培训。</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4）投标方应协助招标方解决设备运行中出现的问题。</w:t>
      </w:r>
    </w:p>
    <w:p>
      <w:pPr>
        <w:pStyle w:val="188"/>
        <w:rPr>
          <w:rFonts w:ascii="Times New Roman" w:cs="Times New Roman"/>
          <w:b/>
        </w:rPr>
      </w:pPr>
      <w:bookmarkStart w:id="156" w:name="_Toc17180"/>
      <w:bookmarkStart w:id="157" w:name="_Toc405368432"/>
      <w:r>
        <w:rPr>
          <w:rFonts w:ascii="Times New Roman" w:cs="Times New Roman"/>
          <w:b/>
        </w:rPr>
        <w:t>9.</w:t>
      </w:r>
      <w:bookmarkEnd w:id="150"/>
      <w:bookmarkEnd w:id="151"/>
      <w:bookmarkEnd w:id="152"/>
      <w:bookmarkEnd w:id="153"/>
      <w:bookmarkStart w:id="158" w:name="_Toc277686885"/>
      <w:bookmarkStart w:id="159" w:name="_Toc283142582"/>
      <w:bookmarkStart w:id="160" w:name="_Toc283011676"/>
      <w:bookmarkStart w:id="161" w:name="_Toc282433724"/>
      <w:bookmarkStart w:id="162" w:name="_Toc282428316"/>
      <w:r>
        <w:rPr>
          <w:rFonts w:hint="eastAsia" w:ascii="Times New Roman" w:cs="Times New Roman"/>
          <w:b/>
        </w:rPr>
        <w:t xml:space="preserve">4 </w:t>
      </w:r>
      <w:r>
        <w:rPr>
          <w:rFonts w:ascii="Times New Roman" w:cs="Times New Roman"/>
        </w:rPr>
        <w:t>设计联络</w:t>
      </w:r>
      <w:bookmarkEnd w:id="154"/>
      <w:bookmarkEnd w:id="156"/>
      <w:bookmarkEnd w:id="157"/>
      <w:bookmarkEnd w:id="158"/>
      <w:bookmarkEnd w:id="159"/>
      <w:bookmarkEnd w:id="160"/>
      <w:bookmarkEnd w:id="161"/>
      <w:bookmarkEnd w:id="162"/>
    </w:p>
    <w:p>
      <w:pPr>
        <w:spacing w:line="360" w:lineRule="auto"/>
        <w:ind w:firstLine="360"/>
        <w:rPr>
          <w:color w:val="000000"/>
        </w:rPr>
      </w:pPr>
      <w:r>
        <w:rPr>
          <w:color w:val="000000"/>
        </w:rPr>
        <w:t>1）投标方应在技术协议签订后在专用部分要求的时间内向招标方提供正式版的用于设计、设备监造和检验、现场安装和调试以及运行维护方面的图纸、说明书和有关技术资料，同时向招标方设计代表提供拷贝光盘2份（图纸为AutoCAD R2000版、文字资料为Word07版）；</w:t>
      </w:r>
    </w:p>
    <w:p>
      <w:pPr>
        <w:spacing w:line="360" w:lineRule="auto"/>
        <w:ind w:firstLine="360"/>
        <w:rPr>
          <w:color w:val="000000"/>
        </w:rPr>
      </w:pPr>
      <w:r>
        <w:rPr>
          <w:color w:val="000000"/>
        </w:rPr>
        <w:t>2）投标方应按设计需要随时开展设计联络工作，提供设计所需的相关资料，以保证招标方工期要求；</w:t>
      </w:r>
    </w:p>
    <w:p>
      <w:pPr>
        <w:spacing w:line="360" w:lineRule="auto"/>
        <w:ind w:firstLine="360"/>
        <w:rPr>
          <w:color w:val="000000"/>
        </w:rPr>
      </w:pPr>
      <w:r>
        <w:rPr>
          <w:color w:val="000000"/>
        </w:rPr>
        <w:t>3）投标方提供的图纸必须经招标方代表确认。</w:t>
      </w:r>
    </w:p>
    <w:bookmarkEnd w:id="135"/>
    <w:bookmarkEnd w:id="136"/>
    <w:bookmarkEnd w:id="137"/>
    <w:p>
      <w:pPr>
        <w:pStyle w:val="186"/>
        <w:numPr>
          <w:ilvl w:val="0"/>
          <w:numId w:val="1"/>
        </w:numPr>
        <w:tabs>
          <w:tab w:val="clear" w:pos="425"/>
        </w:tabs>
        <w:spacing w:before="312" w:after="312"/>
        <w:ind w:left="0" w:firstLine="0"/>
        <w:rPr>
          <w:rFonts w:ascii="Times New Roman" w:cs="Times New Roman"/>
        </w:rPr>
      </w:pPr>
      <w:bookmarkStart w:id="163" w:name="_Toc276492435"/>
      <w:bookmarkStart w:id="164" w:name="_Toc279695207"/>
      <w:bookmarkStart w:id="165" w:name="_Toc276490917"/>
      <w:bookmarkStart w:id="166" w:name="_Toc391511079"/>
      <w:bookmarkStart w:id="167" w:name="_Toc423596579"/>
      <w:bookmarkStart w:id="168" w:name="_Toc391509807"/>
      <w:bookmarkStart w:id="169" w:name="_Toc24420"/>
      <w:r>
        <w:rPr>
          <w:rFonts w:hint="eastAsia" w:ascii="Times New Roman" w:cs="Times New Roman"/>
        </w:rPr>
        <w:t>监造、包装、运输、安装</w:t>
      </w:r>
      <w:bookmarkEnd w:id="163"/>
      <w:bookmarkEnd w:id="164"/>
      <w:bookmarkEnd w:id="165"/>
      <w:r>
        <w:rPr>
          <w:rFonts w:hint="eastAsia" w:ascii="Times New Roman" w:cs="Times New Roman"/>
        </w:rPr>
        <w:t>及质量保证</w:t>
      </w:r>
      <w:bookmarkEnd w:id="166"/>
      <w:bookmarkEnd w:id="167"/>
      <w:bookmarkEnd w:id="168"/>
      <w:bookmarkEnd w:id="169"/>
    </w:p>
    <w:p>
      <w:pPr>
        <w:pStyle w:val="188"/>
        <w:rPr>
          <w:rFonts w:ascii="Times New Roman" w:cs="Times New Roman"/>
          <w:b/>
        </w:rPr>
      </w:pPr>
      <w:bookmarkStart w:id="170" w:name="_Toc279695208"/>
      <w:bookmarkStart w:id="171" w:name="_Toc276492370"/>
      <w:bookmarkStart w:id="172" w:name="_Toc391511080"/>
      <w:bookmarkStart w:id="173" w:name="_Toc391509808"/>
      <w:bookmarkStart w:id="174" w:name="_Toc30908"/>
      <w:bookmarkStart w:id="175" w:name="_Toc276490898"/>
      <w:bookmarkStart w:id="176" w:name="_Toc200531202"/>
      <w:bookmarkStart w:id="177" w:name="_Toc472997247"/>
      <w:bookmarkStart w:id="178" w:name="_Toc53672785"/>
      <w:bookmarkStart w:id="179" w:name="_Toc471528253"/>
      <w:r>
        <w:rPr>
          <w:rFonts w:hint="eastAsia" w:ascii="Times New Roman" w:cs="Times New Roman"/>
          <w:b/>
        </w:rPr>
        <w:t xml:space="preserve">10.1 </w:t>
      </w:r>
      <w:r>
        <w:rPr>
          <w:rFonts w:hint="eastAsia" w:ascii="Times New Roman" w:cs="Times New Roman"/>
        </w:rPr>
        <w:t>监造</w:t>
      </w:r>
      <w:bookmarkEnd w:id="170"/>
      <w:bookmarkEnd w:id="171"/>
      <w:bookmarkEnd w:id="172"/>
      <w:bookmarkEnd w:id="173"/>
      <w:bookmarkEnd w:id="174"/>
      <w:bookmarkEnd w:id="175"/>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1）</w:t>
      </w:r>
      <w:r>
        <w:rPr>
          <w:rFonts w:ascii="Times New Roman" w:hAnsi="Times New Roman" w:eastAsia="宋体"/>
          <w:color w:val="000000"/>
          <w:kern w:val="2"/>
          <w:sz w:val="21"/>
          <w:szCs w:val="24"/>
        </w:rPr>
        <w:t>投标方必须在签订合同后10天之内以书面形式提供</w:t>
      </w:r>
      <w:r>
        <w:rPr>
          <w:rFonts w:hint="eastAsia" w:ascii="Times New Roman" w:hAnsi="Times New Roman" w:eastAsia="宋体"/>
          <w:color w:val="000000"/>
          <w:kern w:val="2"/>
          <w:sz w:val="21"/>
          <w:szCs w:val="24"/>
        </w:rPr>
        <w:t>所供设备的</w:t>
      </w:r>
      <w:r>
        <w:rPr>
          <w:rFonts w:ascii="Times New Roman" w:hAnsi="Times New Roman" w:eastAsia="宋体"/>
          <w:color w:val="000000"/>
          <w:kern w:val="2"/>
          <w:sz w:val="21"/>
          <w:szCs w:val="24"/>
        </w:rPr>
        <w:t>制造进度表。按照DL/T586-1995《电力设备用户监造导则》的要求，招标方可随时进厂监造。监造和检验人员有权了解生产过程、查询质量记录和参加各种试验。</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2）监造范围包括设备的设计、加工、制造、储运、材料采购、组装和试验等重要过程，关键部件的质量控制，进行见证、检验和审核。</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3）运行单位的工厂监造和检验工作，不减少投标方对产品的质量责任，监造和检验人员不签署任何质量证明。</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4）投标方应在出厂前提前至少5个工作日书面通知招标方进行出厂试验监督。</w:t>
      </w:r>
    </w:p>
    <w:p>
      <w:pPr>
        <w:pStyle w:val="188"/>
        <w:rPr>
          <w:rFonts w:ascii="Times New Roman" w:cs="Times New Roman"/>
          <w:b/>
        </w:rPr>
      </w:pPr>
      <w:bookmarkStart w:id="180" w:name="_Toc17429"/>
      <w:bookmarkStart w:id="181" w:name="_Toc276492436"/>
      <w:bookmarkStart w:id="182" w:name="_Toc391511081"/>
      <w:bookmarkStart w:id="183" w:name="_Toc276490918"/>
      <w:bookmarkStart w:id="184" w:name="_Toc276301528"/>
      <w:bookmarkStart w:id="185" w:name="_Toc391509809"/>
      <w:bookmarkStart w:id="186" w:name="_Toc279695209"/>
      <w:r>
        <w:rPr>
          <w:rFonts w:hint="eastAsia" w:ascii="Times New Roman" w:cs="Times New Roman"/>
          <w:b/>
        </w:rPr>
        <w:t xml:space="preserve">10.2 </w:t>
      </w:r>
      <w:r>
        <w:rPr>
          <w:rFonts w:hint="eastAsia" w:ascii="Times New Roman" w:cs="Times New Roman"/>
        </w:rPr>
        <w:t>包装</w:t>
      </w:r>
      <w:bookmarkEnd w:id="176"/>
      <w:bookmarkEnd w:id="177"/>
      <w:bookmarkEnd w:id="178"/>
      <w:bookmarkEnd w:id="179"/>
      <w:bookmarkEnd w:id="180"/>
      <w:bookmarkEnd w:id="181"/>
      <w:bookmarkEnd w:id="182"/>
      <w:bookmarkEnd w:id="183"/>
      <w:bookmarkEnd w:id="184"/>
      <w:bookmarkEnd w:id="185"/>
      <w:bookmarkEnd w:id="186"/>
    </w:p>
    <w:p>
      <w:pPr>
        <w:pStyle w:val="71"/>
        <w:adjustRightInd w:val="0"/>
        <w:spacing w:line="360" w:lineRule="auto"/>
        <w:ind w:firstLine="0" w:firstLineChars="0"/>
        <w:rPr>
          <w:rFonts w:ascii="Times New Roman" w:hAnsi="Times New Roman" w:eastAsia="宋体"/>
          <w:kern w:val="2"/>
          <w:sz w:val="21"/>
        </w:rPr>
      </w:pPr>
      <w:bookmarkStart w:id="187" w:name="_Toc279695211"/>
      <w:bookmarkStart w:id="188" w:name="_Toc276490920"/>
      <w:bookmarkStart w:id="189" w:name="_Toc276492438"/>
      <w:bookmarkStart w:id="190" w:name="_Toc276301530"/>
      <w:r>
        <w:rPr>
          <w:rFonts w:hint="eastAsia" w:ascii="Times New Roman" w:hAnsi="Times New Roman" w:eastAsia="黑体"/>
          <w:b/>
          <w:sz w:val="21"/>
        </w:rPr>
        <w:t xml:space="preserve">10.2.1 </w:t>
      </w:r>
      <w:r>
        <w:rPr>
          <w:rFonts w:hint="eastAsia" w:ascii="Times New Roman" w:hAnsi="Times New Roman" w:eastAsia="宋体"/>
          <w:kern w:val="2"/>
          <w:sz w:val="21"/>
        </w:rPr>
        <w:t>附件的各种部件装入包装箱内，包装箱应采用纸或木箱。装箱时在箱内必须附有装箱清单、安装使用说明书和结构示意图。附件零部件可分开包装。包装箱侧面应注明部件名称、规格。两端面应注明轻放；防雨；不得穿刺。各种包装应能确保各零部件在运输过程中不致遭到损坏、丢失、变形、受潮和腐蚀。</w:t>
      </w:r>
    </w:p>
    <w:p>
      <w:pPr>
        <w:pStyle w:val="71"/>
        <w:adjustRightInd w:val="0"/>
        <w:spacing w:line="360" w:lineRule="auto"/>
        <w:ind w:firstLine="0" w:firstLineChars="0"/>
        <w:rPr>
          <w:rFonts w:ascii="Times New Roman" w:hAnsi="Times New Roman" w:eastAsia="宋体"/>
          <w:kern w:val="2"/>
          <w:sz w:val="21"/>
        </w:rPr>
      </w:pPr>
      <w:r>
        <w:rPr>
          <w:rFonts w:hint="eastAsia" w:ascii="Times New Roman" w:hAnsi="Times New Roman" w:eastAsia="黑体"/>
          <w:b/>
          <w:sz w:val="21"/>
        </w:rPr>
        <w:t xml:space="preserve">10.2.2 </w:t>
      </w:r>
      <w:r>
        <w:rPr>
          <w:rFonts w:hint="eastAsia" w:ascii="Times New Roman" w:hAnsi="Times New Roman" w:eastAsia="宋体"/>
          <w:kern w:val="2"/>
          <w:sz w:val="21"/>
        </w:rPr>
        <w:t>包装箱外应标明以下内容：</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买方名称、交货地点；</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制造厂名和制造日期；</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包装箱毛重和净重；</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包装箱外形尺寸；</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必要的警告文字和符号；</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总运输数量、各箱编号；</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合同号；</w:t>
      </w:r>
    </w:p>
    <w:p>
      <w:pPr>
        <w:pStyle w:val="71"/>
        <w:numPr>
          <w:ilvl w:val="1"/>
          <w:numId w:val="4"/>
        </w:numPr>
        <w:adjustRightInd w:val="0"/>
        <w:spacing w:line="360" w:lineRule="auto"/>
        <w:ind w:left="0" w:firstLine="420" w:firstLineChars="0"/>
        <w:rPr>
          <w:rFonts w:ascii="Times New Roman" w:hAnsi="Times New Roman" w:eastAsia="宋体"/>
          <w:kern w:val="2"/>
          <w:sz w:val="21"/>
        </w:rPr>
      </w:pPr>
      <w:r>
        <w:rPr>
          <w:rFonts w:hint="eastAsia" w:ascii="Times New Roman" w:hAnsi="Times New Roman" w:eastAsia="宋体"/>
          <w:kern w:val="2"/>
          <w:sz w:val="21"/>
        </w:rPr>
        <w:t>附件名称、规格、数量。</w:t>
      </w:r>
    </w:p>
    <w:bookmarkEnd w:id="187"/>
    <w:bookmarkEnd w:id="188"/>
    <w:bookmarkEnd w:id="189"/>
    <w:bookmarkEnd w:id="190"/>
    <w:p>
      <w:pPr>
        <w:pStyle w:val="71"/>
        <w:adjustRightInd w:val="0"/>
        <w:spacing w:line="360" w:lineRule="auto"/>
        <w:ind w:firstLine="0" w:firstLineChars="0"/>
        <w:rPr>
          <w:rFonts w:ascii="Times New Roman" w:hAnsi="Times New Roman" w:eastAsia="宋体"/>
          <w:kern w:val="2"/>
          <w:sz w:val="21"/>
        </w:rPr>
      </w:pPr>
      <w:r>
        <w:rPr>
          <w:rFonts w:hint="eastAsia" w:ascii="Times New Roman" w:hAnsi="Times New Roman" w:eastAsia="黑体"/>
          <w:b/>
          <w:sz w:val="21"/>
        </w:rPr>
        <w:t xml:space="preserve">10.2.3 </w:t>
      </w:r>
      <w:r>
        <w:rPr>
          <w:rFonts w:hint="eastAsia" w:ascii="Times New Roman" w:hAnsi="Times New Roman" w:eastAsia="宋体"/>
          <w:kern w:val="2"/>
          <w:sz w:val="21"/>
        </w:rPr>
        <w:t>包装箱内应有详细的装箱清单、清单上应注明附件各组成部件的贮存条件（温度和湿度等）、有效使用期。</w:t>
      </w:r>
    </w:p>
    <w:p>
      <w:pPr>
        <w:pStyle w:val="71"/>
        <w:adjustRightInd w:val="0"/>
        <w:spacing w:line="360" w:lineRule="auto"/>
        <w:ind w:firstLine="0" w:firstLineChars="0"/>
        <w:rPr>
          <w:rFonts w:ascii="Times New Roman" w:hAnsi="Times New Roman" w:eastAsia="宋体"/>
          <w:sz w:val="21"/>
          <w:szCs w:val="21"/>
        </w:rPr>
      </w:pPr>
      <w:r>
        <w:rPr>
          <w:rFonts w:hint="eastAsia" w:ascii="Times New Roman" w:hAnsi="Times New Roman" w:eastAsia="黑体"/>
          <w:b/>
          <w:sz w:val="21"/>
        </w:rPr>
        <w:t xml:space="preserve">10.2.4 </w:t>
      </w:r>
      <w:r>
        <w:rPr>
          <w:rFonts w:hint="eastAsia" w:ascii="Times New Roman" w:hAnsi="Times New Roman" w:eastAsia="宋体"/>
          <w:kern w:val="2"/>
          <w:sz w:val="21"/>
        </w:rPr>
        <w:t>工程材料和备品材料应分别包装</w:t>
      </w:r>
      <w:r>
        <w:rPr>
          <w:rFonts w:hint="eastAsia" w:ascii="Times New Roman" w:hAnsi="Times New Roman" w:eastAsia="宋体"/>
          <w:sz w:val="21"/>
          <w:szCs w:val="21"/>
        </w:rPr>
        <w:t>。</w:t>
      </w:r>
    </w:p>
    <w:p>
      <w:pPr>
        <w:pStyle w:val="71"/>
        <w:adjustRightInd w:val="0"/>
        <w:spacing w:line="360" w:lineRule="auto"/>
        <w:ind w:firstLine="0" w:firstLineChars="0"/>
        <w:rPr>
          <w:rFonts w:ascii="Times New Roman" w:hAnsi="Times New Roman" w:eastAsia="宋体"/>
          <w:sz w:val="21"/>
          <w:szCs w:val="21"/>
        </w:rPr>
      </w:pPr>
      <w:r>
        <w:rPr>
          <w:rFonts w:hint="eastAsia" w:ascii="Times New Roman" w:hAnsi="Times New Roman" w:eastAsia="黑体"/>
          <w:b/>
          <w:sz w:val="21"/>
        </w:rPr>
        <w:t xml:space="preserve">10.2.5 </w:t>
      </w:r>
      <w:r>
        <w:rPr>
          <w:rFonts w:hint="eastAsia" w:ascii="Times New Roman" w:hAnsi="Times New Roman" w:eastAsia="宋体"/>
          <w:kern w:val="2"/>
          <w:sz w:val="21"/>
        </w:rPr>
        <w:t>技术文件应装在不透水的袋内；随</w:t>
      </w:r>
      <w:r>
        <w:rPr>
          <w:rFonts w:hint="eastAsia" w:ascii="Times New Roman" w:hAnsi="Times New Roman" w:eastAsia="宋体"/>
          <w:sz w:val="21"/>
          <w:szCs w:val="21"/>
        </w:rPr>
        <w:t>产品提供的技术资料应完整无缺。</w:t>
      </w:r>
    </w:p>
    <w:p>
      <w:pPr>
        <w:pStyle w:val="71"/>
        <w:adjustRightInd w:val="0"/>
        <w:spacing w:line="360" w:lineRule="auto"/>
        <w:ind w:firstLine="0" w:firstLineChars="0"/>
        <w:rPr>
          <w:rFonts w:hint="eastAsia" w:ascii="Times New Roman" w:hAnsi="Times New Roman" w:eastAsia="宋体"/>
          <w:kern w:val="2"/>
          <w:sz w:val="21"/>
        </w:rPr>
      </w:pPr>
      <w:r>
        <w:rPr>
          <w:rFonts w:hint="eastAsia" w:ascii="Times New Roman" w:hAnsi="Times New Roman" w:eastAsia="黑体"/>
          <w:b/>
          <w:sz w:val="21"/>
        </w:rPr>
        <w:t xml:space="preserve">10.2.6 </w:t>
      </w:r>
      <w:r>
        <w:rPr>
          <w:rFonts w:hint="eastAsia" w:ascii="Times New Roman" w:hAnsi="Times New Roman" w:eastAsia="宋体"/>
          <w:kern w:val="2"/>
          <w:sz w:val="21"/>
        </w:rPr>
        <w:t>附件零部件放入包装箱时，应有相应的防潮、防碰撞措施。</w:t>
      </w:r>
    </w:p>
    <w:p>
      <w:pPr>
        <w:pStyle w:val="71"/>
        <w:adjustRightInd w:val="0"/>
        <w:spacing w:line="360" w:lineRule="auto"/>
        <w:ind w:firstLine="0" w:firstLineChars="0"/>
        <w:rPr>
          <w:rFonts w:hint="eastAsia" w:ascii="Times New Roman" w:hAnsi="Times New Roman" w:eastAsia="宋体"/>
          <w:kern w:val="2"/>
          <w:sz w:val="21"/>
        </w:rPr>
      </w:pPr>
      <w:r>
        <w:rPr>
          <w:rFonts w:hint="eastAsia" w:ascii="Times New Roman" w:hAnsi="Times New Roman" w:eastAsia="宋体"/>
          <w:b/>
          <w:bCs/>
          <w:kern w:val="2"/>
          <w:sz w:val="21"/>
        </w:rPr>
        <w:t>10.2.7</w:t>
      </w:r>
      <w:r>
        <w:rPr>
          <w:rFonts w:hint="eastAsia" w:ascii="Times New Roman" w:hAnsi="Times New Roman" w:eastAsia="宋体"/>
          <w:kern w:val="2"/>
          <w:sz w:val="21"/>
        </w:rPr>
        <w:t xml:space="preserve"> 电缆中间接头防水带包装盒上应注明产品生产日期。</w:t>
      </w:r>
    </w:p>
    <w:p>
      <w:pPr>
        <w:pStyle w:val="188"/>
        <w:rPr>
          <w:rFonts w:ascii="Times New Roman" w:cs="Times New Roman"/>
          <w:b/>
        </w:rPr>
      </w:pPr>
      <w:bookmarkStart w:id="191" w:name="_Toc13848"/>
      <w:bookmarkStart w:id="192" w:name="_Toc391511031"/>
      <w:r>
        <w:rPr>
          <w:rFonts w:hint="eastAsia" w:ascii="Times New Roman" w:cs="Times New Roman"/>
          <w:b/>
        </w:rPr>
        <w:t xml:space="preserve">10.3 </w:t>
      </w:r>
      <w:r>
        <w:rPr>
          <w:rFonts w:hint="eastAsia" w:ascii="Times New Roman" w:cs="Times New Roman"/>
        </w:rPr>
        <w:t>运输</w:t>
      </w:r>
      <w:bookmarkEnd w:id="191"/>
      <w:bookmarkEnd w:id="192"/>
    </w:p>
    <w:p>
      <w:pPr>
        <w:pStyle w:val="71"/>
        <w:adjustRightInd w:val="0"/>
        <w:spacing w:line="360" w:lineRule="auto"/>
        <w:ind w:firstLine="0" w:firstLineChars="0"/>
        <w:rPr>
          <w:rFonts w:ascii="Times New Roman" w:hAnsi="Times New Roman" w:eastAsia="宋体"/>
          <w:sz w:val="21"/>
          <w:szCs w:val="21"/>
        </w:rPr>
      </w:pPr>
      <w:r>
        <w:rPr>
          <w:rFonts w:hint="eastAsia" w:ascii="Times New Roman" w:hAnsi="Times New Roman" w:eastAsia="黑体"/>
          <w:b/>
          <w:sz w:val="21"/>
        </w:rPr>
        <w:t>10.3.1</w:t>
      </w:r>
      <w:r>
        <w:rPr>
          <w:rFonts w:hint="eastAsia" w:ascii="Times New Roman" w:hAnsi="Times New Roman" w:eastAsia="宋体"/>
          <w:b/>
          <w:sz w:val="21"/>
          <w:szCs w:val="21"/>
        </w:rPr>
        <w:t xml:space="preserve"> </w:t>
      </w:r>
      <w:r>
        <w:rPr>
          <w:rFonts w:hint="eastAsia" w:ascii="Times New Roman" w:hAnsi="Times New Roman" w:eastAsia="宋体"/>
          <w:kern w:val="2"/>
          <w:sz w:val="21"/>
        </w:rPr>
        <w:t>电缆附件制造完成并通过试验后应及时包装， 否则应得到切实的保护。其包装应符合运输部门的有关规定。</w:t>
      </w:r>
    </w:p>
    <w:p>
      <w:pPr>
        <w:pStyle w:val="71"/>
        <w:adjustRightInd w:val="0"/>
        <w:spacing w:line="360" w:lineRule="auto"/>
        <w:ind w:firstLine="0" w:firstLineChars="0"/>
        <w:rPr>
          <w:rFonts w:ascii="Times New Roman" w:hAnsi="Times New Roman" w:eastAsia="宋体"/>
          <w:kern w:val="2"/>
          <w:sz w:val="21"/>
        </w:rPr>
      </w:pPr>
      <w:r>
        <w:rPr>
          <w:rFonts w:hint="eastAsia" w:ascii="Times New Roman" w:hAnsi="Times New Roman" w:eastAsia="黑体"/>
          <w:b/>
          <w:sz w:val="21"/>
        </w:rPr>
        <w:t xml:space="preserve">10.3.2 </w:t>
      </w:r>
      <w:r>
        <w:rPr>
          <w:rFonts w:hint="eastAsia" w:ascii="Times New Roman" w:hAnsi="Times New Roman" w:eastAsia="宋体"/>
          <w:kern w:val="2"/>
          <w:sz w:val="21"/>
        </w:rPr>
        <w:t>应采取有效的预防措施，为了在运输、储存和安装中以及在带电前，保护绝缘以防由于雨、雪或凝露等原因而吸潮，并防止在运输过程中振动给设备造成的影响和损伤。</w:t>
      </w:r>
    </w:p>
    <w:p>
      <w:pPr>
        <w:pStyle w:val="71"/>
        <w:adjustRightInd w:val="0"/>
        <w:spacing w:line="360" w:lineRule="auto"/>
        <w:ind w:firstLine="0" w:firstLineChars="0"/>
        <w:rPr>
          <w:rFonts w:ascii="Times New Roman" w:hAnsi="Times New Roman" w:eastAsia="宋体"/>
          <w:sz w:val="21"/>
          <w:szCs w:val="21"/>
        </w:rPr>
      </w:pPr>
      <w:r>
        <w:rPr>
          <w:rFonts w:hint="eastAsia" w:ascii="Times New Roman" w:hAnsi="Times New Roman" w:eastAsia="黑体"/>
          <w:b/>
          <w:sz w:val="21"/>
        </w:rPr>
        <w:t>10.3.3</w:t>
      </w:r>
      <w:r>
        <w:rPr>
          <w:rFonts w:hint="eastAsia" w:ascii="Times New Roman" w:hAnsi="Times New Roman" w:eastAsia="宋体"/>
          <w:b/>
          <w:sz w:val="21"/>
          <w:szCs w:val="21"/>
        </w:rPr>
        <w:t xml:space="preserve"> </w:t>
      </w:r>
      <w:r>
        <w:rPr>
          <w:rFonts w:hint="eastAsia" w:ascii="Times New Roman" w:hAnsi="Times New Roman" w:eastAsia="宋体"/>
          <w:kern w:val="2"/>
          <w:sz w:val="21"/>
        </w:rPr>
        <w:t>所有部件经妥善包装或装箱后，在运输过程中尚应采取其它防护措施，以免散失损坏或被盗。</w:t>
      </w:r>
    </w:p>
    <w:p>
      <w:pPr>
        <w:pStyle w:val="188"/>
        <w:rPr>
          <w:rFonts w:ascii="Times New Roman" w:cs="Times New Roman"/>
          <w:b/>
        </w:rPr>
      </w:pPr>
      <w:bookmarkStart w:id="193" w:name="_Toc21848"/>
      <w:bookmarkStart w:id="194" w:name="_Toc391511032"/>
      <w:r>
        <w:rPr>
          <w:rFonts w:hint="eastAsia" w:ascii="Times New Roman" w:cs="Times New Roman"/>
          <w:b/>
        </w:rPr>
        <w:t xml:space="preserve">10.4 </w:t>
      </w:r>
      <w:r>
        <w:rPr>
          <w:rFonts w:hint="eastAsia" w:ascii="Times New Roman" w:cs="Times New Roman"/>
        </w:rPr>
        <w:t>储存</w:t>
      </w:r>
      <w:bookmarkEnd w:id="193"/>
      <w:bookmarkEnd w:id="194"/>
    </w:p>
    <w:p>
      <w:pPr>
        <w:pStyle w:val="71"/>
        <w:adjustRightInd w:val="0"/>
        <w:spacing w:line="360" w:lineRule="auto"/>
        <w:ind w:firstLine="0" w:firstLineChars="0"/>
        <w:rPr>
          <w:rFonts w:ascii="Times New Roman" w:hAnsi="Times New Roman" w:eastAsia="宋体"/>
          <w:sz w:val="21"/>
          <w:szCs w:val="21"/>
        </w:rPr>
      </w:pPr>
      <w:r>
        <w:rPr>
          <w:rFonts w:hint="eastAsia" w:ascii="Times New Roman" w:hAnsi="Times New Roman" w:eastAsia="黑体"/>
          <w:b/>
          <w:sz w:val="21"/>
        </w:rPr>
        <w:t xml:space="preserve">10.4.1 </w:t>
      </w:r>
      <w:r>
        <w:rPr>
          <w:rFonts w:hint="eastAsia" w:ascii="Times New Roman" w:hAnsi="Times New Roman" w:eastAsia="宋体"/>
          <w:kern w:val="2"/>
          <w:sz w:val="21"/>
        </w:rPr>
        <w:t>电缆附件的绝缘材料都应采用防潮包装，并存放在正常环境温度、干燥的室内保管，以防止储存过程中密封破坏而受潮。</w:t>
      </w:r>
    </w:p>
    <w:p>
      <w:pPr>
        <w:pStyle w:val="71"/>
        <w:adjustRightInd w:val="0"/>
        <w:spacing w:line="360" w:lineRule="auto"/>
        <w:ind w:firstLine="0" w:firstLineChars="0"/>
        <w:rPr>
          <w:rFonts w:ascii="Times New Roman" w:hAnsi="Times New Roman" w:eastAsia="宋体"/>
          <w:kern w:val="2"/>
          <w:sz w:val="21"/>
        </w:rPr>
      </w:pPr>
      <w:r>
        <w:rPr>
          <w:rFonts w:hint="eastAsia" w:ascii="Times New Roman" w:hAnsi="Times New Roman" w:eastAsia="黑体"/>
          <w:b/>
          <w:sz w:val="21"/>
        </w:rPr>
        <w:t xml:space="preserve">10.4.2 </w:t>
      </w:r>
      <w:r>
        <w:rPr>
          <w:rFonts w:hint="eastAsia" w:ascii="Times New Roman" w:hAnsi="Times New Roman" w:eastAsia="宋体"/>
          <w:kern w:val="2"/>
          <w:sz w:val="21"/>
        </w:rPr>
        <w:t>电缆附件在安装前的保管，其保管期限不少于2年，保管期信息应清晰张贴在产品包装箱表面。</w:t>
      </w:r>
    </w:p>
    <w:p>
      <w:pPr>
        <w:pStyle w:val="188"/>
        <w:rPr>
          <w:rFonts w:ascii="Times New Roman" w:cs="Times New Roman"/>
          <w:b/>
        </w:rPr>
      </w:pPr>
      <w:bookmarkStart w:id="195" w:name="_Toc391511033"/>
      <w:bookmarkStart w:id="196" w:name="_Toc883"/>
      <w:r>
        <w:rPr>
          <w:rFonts w:hint="eastAsia" w:ascii="Times New Roman" w:cs="Times New Roman"/>
          <w:b/>
        </w:rPr>
        <w:t xml:space="preserve">10.5 </w:t>
      </w:r>
      <w:r>
        <w:rPr>
          <w:rFonts w:hint="eastAsia" w:ascii="Times New Roman" w:cs="Times New Roman"/>
        </w:rPr>
        <w:t>开箱检查</w:t>
      </w:r>
      <w:bookmarkEnd w:id="195"/>
      <w:bookmarkEnd w:id="196"/>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开箱检查时应有投标方代表在现场确认。</w:t>
      </w:r>
    </w:p>
    <w:p>
      <w:pPr>
        <w:pStyle w:val="188"/>
        <w:rPr>
          <w:rFonts w:ascii="Times New Roman" w:cs="Times New Roman"/>
          <w:b/>
        </w:rPr>
      </w:pPr>
      <w:bookmarkStart w:id="197" w:name="_Toc391511034"/>
      <w:bookmarkStart w:id="198" w:name="_Toc21122"/>
      <w:r>
        <w:rPr>
          <w:rFonts w:hint="eastAsia" w:ascii="Times New Roman" w:cs="Times New Roman"/>
          <w:b/>
        </w:rPr>
        <w:t xml:space="preserve">10.6 </w:t>
      </w:r>
      <w:r>
        <w:rPr>
          <w:rFonts w:hint="eastAsia" w:ascii="Times New Roman" w:cs="Times New Roman"/>
        </w:rPr>
        <w:t>安装指导</w:t>
      </w:r>
      <w:bookmarkEnd w:id="197"/>
      <w:bookmarkEnd w:id="198"/>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投标方在安装和启动时应安排技术人员提供现场安装指导服务，提出技术建议。</w:t>
      </w:r>
    </w:p>
    <w:p>
      <w:pPr>
        <w:pStyle w:val="188"/>
        <w:rPr>
          <w:rFonts w:ascii="Times New Roman" w:cs="Times New Roman"/>
          <w:b/>
        </w:rPr>
      </w:pPr>
      <w:bookmarkStart w:id="199" w:name="_Toc8801"/>
      <w:bookmarkStart w:id="200" w:name="_Toc391509812"/>
      <w:bookmarkStart w:id="201" w:name="_Toc391511084"/>
      <w:r>
        <w:rPr>
          <w:rFonts w:hint="eastAsia" w:ascii="Times New Roman" w:cs="Times New Roman"/>
          <w:b/>
        </w:rPr>
        <w:t xml:space="preserve">10.7 </w:t>
      </w:r>
      <w:r>
        <w:rPr>
          <w:rFonts w:hint="eastAsia" w:ascii="Times New Roman" w:cs="Times New Roman"/>
        </w:rPr>
        <w:t>质量保证</w:t>
      </w:r>
      <w:bookmarkEnd w:id="199"/>
      <w:bookmarkEnd w:id="200"/>
      <w:bookmarkEnd w:id="201"/>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1）全部设备必须是全新的， 持久耐用的，应满足作为一个完整产品所能满足的全部要求。投标方应保证设备在规定的使用条件下运行、并按使用说明书进行安装和维护、预期寿命应不少于15年。</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2）如发生产品损坏，投标方应及时为本组装置提供维修部件，并按最近的投标价提供。</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3）订购的新型产品除应满足本标准外， 投标方还应提供该产品的鉴定证书。</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4）投标方应保证制造过程中的所有工艺、材料试验等（包括投标方的外购件在内）均应符合本标准的规定。若买方根据运行经验指定投标方提供某种外购零部件， 投标方应积极配合。</w:t>
      </w:r>
    </w:p>
    <w:p>
      <w:pPr>
        <w:pStyle w:val="71"/>
        <w:adjustRightInd w:val="0"/>
        <w:spacing w:line="360" w:lineRule="auto"/>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rPr>
        <w:t>5）附属及配套设备必须满足有关行业标准的要求， 并提供试验报告和产品合格证。</w:t>
      </w:r>
    </w:p>
    <w:bookmarkEnd w:id="138"/>
    <w:p>
      <w:pPr>
        <w:pStyle w:val="186"/>
        <w:numPr>
          <w:ilvl w:val="0"/>
          <w:numId w:val="1"/>
        </w:numPr>
        <w:tabs>
          <w:tab w:val="clear" w:pos="425"/>
        </w:tabs>
        <w:spacing w:before="312" w:after="312"/>
        <w:ind w:left="0" w:firstLine="0"/>
        <w:rPr>
          <w:rFonts w:ascii="Times New Roman" w:cs="Times New Roman"/>
        </w:rPr>
      </w:pPr>
      <w:bookmarkStart w:id="202" w:name="_Toc24586"/>
      <w:bookmarkStart w:id="203" w:name="_Toc285706675"/>
      <w:bookmarkStart w:id="204" w:name="_Toc305941561"/>
      <w:bookmarkStart w:id="205" w:name="_Toc305941277"/>
      <w:bookmarkStart w:id="206" w:name="_Toc417246376"/>
      <w:bookmarkStart w:id="207" w:name="_Toc417907979"/>
      <w:bookmarkStart w:id="208" w:name="_Toc12344"/>
      <w:bookmarkStart w:id="209" w:name="_Toc8626"/>
      <w:bookmarkStart w:id="210" w:name="_Toc285715832"/>
      <w:bookmarkStart w:id="211" w:name="_Toc285718339"/>
      <w:bookmarkStart w:id="236" w:name="_GoBack"/>
      <w:bookmarkEnd w:id="236"/>
      <w:r>
        <w:rPr>
          <w:rFonts w:ascii="Times New Roman" w:cs="Times New Roman"/>
        </w:rPr>
        <w:t>附录</w:t>
      </w:r>
      <w:bookmarkEnd w:id="202"/>
      <w:bookmarkEnd w:id="203"/>
      <w:bookmarkEnd w:id="204"/>
      <w:bookmarkEnd w:id="205"/>
      <w:bookmarkEnd w:id="206"/>
      <w:bookmarkEnd w:id="207"/>
      <w:bookmarkEnd w:id="208"/>
      <w:bookmarkEnd w:id="209"/>
      <w:bookmarkEnd w:id="210"/>
      <w:bookmarkEnd w:id="211"/>
    </w:p>
    <w:p>
      <w:pPr>
        <w:pStyle w:val="96"/>
        <w:spacing w:beforeLines="0" w:afterLines="0" w:line="360" w:lineRule="auto"/>
        <w:ind w:left="113" w:hanging="113" w:hangingChars="54"/>
        <w:jc w:val="center"/>
        <w:outlineLvl w:val="1"/>
        <w:rPr>
          <w:rFonts w:ascii="Times New Roman"/>
          <w:sz w:val="21"/>
          <w:szCs w:val="21"/>
        </w:rPr>
      </w:pPr>
      <w:bookmarkStart w:id="212" w:name="_Toc417246377"/>
      <w:bookmarkStart w:id="213" w:name="_Toc12786"/>
      <w:bookmarkStart w:id="214" w:name="_Toc387856704"/>
      <w:r>
        <w:rPr>
          <w:rFonts w:hint="eastAsia" w:ascii="Times New Roman"/>
          <w:sz w:val="21"/>
          <w:szCs w:val="21"/>
        </w:rPr>
        <w:t>附录</w:t>
      </w:r>
      <w:r>
        <w:rPr>
          <w:rFonts w:ascii="Times New Roman"/>
          <w:sz w:val="21"/>
          <w:szCs w:val="21"/>
        </w:rPr>
        <w:t>A</w:t>
      </w:r>
      <w:r>
        <w:rPr>
          <w:rFonts w:hint="eastAsia" w:ascii="Times New Roman"/>
          <w:sz w:val="21"/>
          <w:szCs w:val="21"/>
        </w:rPr>
        <w:t>：</w:t>
      </w:r>
      <w:r>
        <w:rPr>
          <w:rFonts w:ascii="Times New Roman"/>
          <w:sz w:val="21"/>
          <w:szCs w:val="21"/>
        </w:rPr>
        <w:t>户内终端性能要求</w:t>
      </w:r>
      <w:bookmarkEnd w:id="212"/>
      <w:bookmarkEnd w:id="213"/>
      <w:bookmarkEnd w:id="214"/>
    </w:p>
    <w:tbl>
      <w:tblPr>
        <w:tblStyle w:val="38"/>
        <w:tblW w:w="985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84"/>
        <w:gridCol w:w="4388"/>
        <w:gridCol w:w="218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284" w:type="dxa"/>
            <w:vAlign w:val="center"/>
          </w:tcPr>
          <w:p>
            <w:pPr>
              <w:jc w:val="center"/>
              <w:rPr>
                <w:color w:val="000000"/>
                <w:sz w:val="18"/>
                <w:szCs w:val="18"/>
              </w:rPr>
            </w:pPr>
            <w:r>
              <w:rPr>
                <w:color w:val="000000"/>
                <w:sz w:val="18"/>
                <w:szCs w:val="18"/>
              </w:rPr>
              <w:t>试验项目</w:t>
            </w:r>
          </w:p>
        </w:tc>
        <w:tc>
          <w:tcPr>
            <w:tcW w:w="4388" w:type="dxa"/>
            <w:vAlign w:val="center"/>
          </w:tcPr>
          <w:p>
            <w:pPr>
              <w:jc w:val="center"/>
              <w:rPr>
                <w:color w:val="000000"/>
                <w:sz w:val="18"/>
                <w:szCs w:val="18"/>
              </w:rPr>
            </w:pPr>
            <w:r>
              <w:rPr>
                <w:color w:val="000000"/>
                <w:sz w:val="18"/>
                <w:szCs w:val="18"/>
              </w:rPr>
              <w:t>试验条件及标准</w:t>
            </w:r>
          </w:p>
        </w:tc>
        <w:tc>
          <w:tcPr>
            <w:tcW w:w="2182" w:type="dxa"/>
            <w:vAlign w:val="center"/>
          </w:tcPr>
          <w:p>
            <w:pPr>
              <w:jc w:val="center"/>
              <w:rPr>
                <w:color w:val="000000"/>
                <w:sz w:val="18"/>
                <w:szCs w:val="18"/>
              </w:rPr>
            </w:pPr>
            <w:r>
              <w:rPr>
                <w:color w:val="000000"/>
                <w:sz w:val="18"/>
                <w:szCs w:val="18"/>
              </w:rPr>
              <w:t>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交流耐压或直流耐压</w:t>
            </w:r>
          </w:p>
        </w:tc>
        <w:tc>
          <w:tcPr>
            <w:tcW w:w="4388" w:type="dxa"/>
            <w:vAlign w:val="center"/>
          </w:tcPr>
          <w:p>
            <w:pPr>
              <w:ind w:firstLine="360" w:firstLineChars="200"/>
              <w:jc w:val="center"/>
              <w:rPr>
                <w:color w:val="000000"/>
                <w:sz w:val="18"/>
                <w:szCs w:val="18"/>
              </w:rPr>
            </w:pPr>
            <w:r>
              <w:rPr>
                <w:color w:val="000000"/>
                <w:sz w:val="18"/>
                <w:szCs w:val="18"/>
              </w:rPr>
              <w:t>4.5U05min或4U0， 15min不闪络、不击穿</w:t>
            </w:r>
          </w:p>
        </w:tc>
        <w:tc>
          <w:tcPr>
            <w:tcW w:w="2182" w:type="dxa"/>
            <w:vAlign w:val="center"/>
          </w:tcPr>
          <w:p>
            <w:pPr>
              <w:ind w:firstLine="360" w:firstLineChars="200"/>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局部放电</w:t>
            </w:r>
          </w:p>
        </w:tc>
        <w:tc>
          <w:tcPr>
            <w:tcW w:w="4388" w:type="dxa"/>
            <w:vAlign w:val="center"/>
          </w:tcPr>
          <w:p>
            <w:pPr>
              <w:jc w:val="center"/>
              <w:rPr>
                <w:color w:val="000000"/>
                <w:sz w:val="18"/>
                <w:szCs w:val="18"/>
              </w:rPr>
            </w:pPr>
            <w:r>
              <w:rPr>
                <w:color w:val="000000"/>
                <w:sz w:val="18"/>
                <w:szCs w:val="18"/>
              </w:rPr>
              <w:t>在1.73U0下，≤5pc</w:t>
            </w:r>
          </w:p>
        </w:tc>
        <w:tc>
          <w:tcPr>
            <w:tcW w:w="218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冲击电压试验</w:t>
            </w:r>
          </w:p>
        </w:tc>
        <w:tc>
          <w:tcPr>
            <w:tcW w:w="4388" w:type="dxa"/>
            <w:vAlign w:val="center"/>
          </w:tcPr>
          <w:p>
            <w:pPr>
              <w:jc w:val="center"/>
              <w:rPr>
                <w:color w:val="000000"/>
                <w:sz w:val="18"/>
                <w:szCs w:val="18"/>
              </w:rPr>
            </w:pPr>
            <w:r>
              <w:rPr>
                <w:color w:val="000000"/>
                <w:sz w:val="18"/>
                <w:szCs w:val="18"/>
              </w:rPr>
              <w:t>95kV，±10次</w:t>
            </w:r>
          </w:p>
        </w:tc>
        <w:tc>
          <w:tcPr>
            <w:tcW w:w="2182" w:type="dxa"/>
            <w:vAlign w:val="center"/>
          </w:tcPr>
          <w:p>
            <w:pPr>
              <w:jc w:val="center"/>
              <w:rPr>
                <w:color w:val="000000"/>
                <w:sz w:val="18"/>
                <w:szCs w:val="18"/>
              </w:rPr>
            </w:pPr>
            <w:r>
              <w:rPr>
                <w:color w:val="000000"/>
                <w:sz w:val="18"/>
                <w:szCs w:val="18"/>
              </w:rPr>
              <w:t>不击穿、不闪络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恒压负荷循环试验（在空气中）</w:t>
            </w:r>
          </w:p>
        </w:tc>
        <w:tc>
          <w:tcPr>
            <w:tcW w:w="4388" w:type="dxa"/>
            <w:vAlign w:val="center"/>
          </w:tcPr>
          <w:p>
            <w:pPr>
              <w:jc w:val="center"/>
              <w:rPr>
                <w:color w:val="000000"/>
                <w:sz w:val="18"/>
                <w:szCs w:val="18"/>
              </w:rPr>
            </w:pPr>
            <w:r>
              <w:rPr>
                <w:color w:val="000000"/>
                <w:sz w:val="18"/>
                <w:szCs w:val="18"/>
              </w:rPr>
              <w:t>导体施加电压2.5U0，并加热至（90-95）°C，其中加热5h，冷却3h，共60次循环</w:t>
            </w:r>
          </w:p>
        </w:tc>
        <w:tc>
          <w:tcPr>
            <w:tcW w:w="2182" w:type="dxa"/>
            <w:vAlign w:val="center"/>
          </w:tcPr>
          <w:p>
            <w:pPr>
              <w:jc w:val="center"/>
              <w:rPr>
                <w:color w:val="000000"/>
                <w:sz w:val="18"/>
                <w:szCs w:val="18"/>
              </w:rPr>
            </w:pPr>
            <w:r>
              <w:rPr>
                <w:color w:val="000000"/>
                <w:sz w:val="18"/>
                <w:szCs w:val="18"/>
              </w:rPr>
              <w:t>不击穿及由以下试验评定试验结果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局部放电（正常运行时导体最高温加5-10°C和环境温度下）</w:t>
            </w:r>
          </w:p>
        </w:tc>
        <w:tc>
          <w:tcPr>
            <w:tcW w:w="4388" w:type="dxa"/>
            <w:vAlign w:val="center"/>
          </w:tcPr>
          <w:p>
            <w:pPr>
              <w:jc w:val="center"/>
              <w:rPr>
                <w:color w:val="000000"/>
                <w:sz w:val="18"/>
                <w:szCs w:val="18"/>
              </w:rPr>
            </w:pPr>
            <w:r>
              <w:rPr>
                <w:color w:val="000000"/>
                <w:sz w:val="18"/>
                <w:szCs w:val="18"/>
              </w:rPr>
              <w:t>在1.73U0下，≤5pc</w:t>
            </w:r>
          </w:p>
        </w:tc>
        <w:tc>
          <w:tcPr>
            <w:tcW w:w="218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短路热稳定 （屏蔽）</w:t>
            </w:r>
          </w:p>
        </w:tc>
        <w:tc>
          <w:tcPr>
            <w:tcW w:w="4388" w:type="dxa"/>
            <w:vAlign w:val="center"/>
          </w:tcPr>
          <w:p>
            <w:pPr>
              <w:jc w:val="center"/>
              <w:rPr>
                <w:color w:val="000000"/>
                <w:sz w:val="18"/>
                <w:szCs w:val="18"/>
              </w:rPr>
            </w:pPr>
            <w:r>
              <w:rPr>
                <w:color w:val="000000"/>
                <w:sz w:val="18"/>
                <w:szCs w:val="18"/>
              </w:rPr>
              <w:t>在电缆屏蔽的Iλυ下，短路2次，无可见损伤</w:t>
            </w:r>
          </w:p>
        </w:tc>
        <w:tc>
          <w:tcPr>
            <w:tcW w:w="218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284" w:type="dxa"/>
            <w:vAlign w:val="center"/>
          </w:tcPr>
          <w:p>
            <w:pPr>
              <w:jc w:val="center"/>
              <w:rPr>
                <w:color w:val="000000"/>
                <w:sz w:val="18"/>
                <w:szCs w:val="18"/>
              </w:rPr>
            </w:pPr>
            <w:r>
              <w:rPr>
                <w:color w:val="000000"/>
                <w:sz w:val="18"/>
                <w:szCs w:val="18"/>
              </w:rPr>
              <w:t>短路热稳定（导体</w:t>
            </w:r>
          </w:p>
        </w:tc>
        <w:tc>
          <w:tcPr>
            <w:tcW w:w="4388" w:type="dxa"/>
            <w:vAlign w:val="center"/>
          </w:tcPr>
          <w:p>
            <w:pPr>
              <w:jc w:val="center"/>
              <w:rPr>
                <w:color w:val="000000"/>
                <w:sz w:val="18"/>
                <w:szCs w:val="18"/>
              </w:rPr>
            </w:pPr>
            <w:r>
              <w:rPr>
                <w:color w:val="000000"/>
                <w:sz w:val="18"/>
                <w:szCs w:val="18"/>
              </w:rPr>
              <w:t>升高到电缆导体的θsc下，短路2次，无可见损伤</w:t>
            </w:r>
          </w:p>
        </w:tc>
        <w:tc>
          <w:tcPr>
            <w:tcW w:w="218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短路动稳定</w:t>
            </w:r>
          </w:p>
        </w:tc>
        <w:tc>
          <w:tcPr>
            <w:tcW w:w="4388" w:type="dxa"/>
            <w:vAlign w:val="center"/>
          </w:tcPr>
          <w:p>
            <w:pPr>
              <w:jc w:val="center"/>
              <w:rPr>
                <w:color w:val="000000"/>
                <w:sz w:val="18"/>
                <w:szCs w:val="18"/>
              </w:rPr>
            </w:pPr>
            <w:r>
              <w:rPr>
                <w:color w:val="000000"/>
                <w:sz w:val="18"/>
                <w:szCs w:val="18"/>
              </w:rPr>
              <w:t>在Id下，短路1次，无可见损伤</w:t>
            </w:r>
          </w:p>
        </w:tc>
        <w:tc>
          <w:tcPr>
            <w:tcW w:w="218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5" w:hRule="atLeast"/>
          <w:jc w:val="center"/>
        </w:trPr>
        <w:tc>
          <w:tcPr>
            <w:tcW w:w="3284" w:type="dxa"/>
            <w:vAlign w:val="center"/>
          </w:tcPr>
          <w:p>
            <w:pPr>
              <w:jc w:val="center"/>
              <w:rPr>
                <w:color w:val="000000"/>
                <w:sz w:val="18"/>
                <w:szCs w:val="18"/>
              </w:rPr>
            </w:pPr>
            <w:r>
              <w:rPr>
                <w:color w:val="000000"/>
                <w:sz w:val="18"/>
                <w:szCs w:val="18"/>
              </w:rPr>
              <w:t>冲击电压试验</w:t>
            </w:r>
          </w:p>
        </w:tc>
        <w:tc>
          <w:tcPr>
            <w:tcW w:w="4388" w:type="dxa"/>
            <w:vAlign w:val="center"/>
          </w:tcPr>
          <w:p>
            <w:pPr>
              <w:jc w:val="center"/>
              <w:rPr>
                <w:color w:val="000000"/>
                <w:sz w:val="18"/>
                <w:szCs w:val="18"/>
              </w:rPr>
            </w:pPr>
            <w:r>
              <w:rPr>
                <w:color w:val="000000"/>
                <w:sz w:val="18"/>
                <w:szCs w:val="18"/>
              </w:rPr>
              <w:t>95kV，±10次</w:t>
            </w:r>
          </w:p>
        </w:tc>
        <w:tc>
          <w:tcPr>
            <w:tcW w:w="2182" w:type="dxa"/>
            <w:vAlign w:val="center"/>
          </w:tcPr>
          <w:p>
            <w:pPr>
              <w:jc w:val="center"/>
              <w:rPr>
                <w:color w:val="000000"/>
                <w:sz w:val="18"/>
                <w:szCs w:val="18"/>
              </w:rPr>
            </w:pPr>
            <w:r>
              <w:rPr>
                <w:color w:val="000000"/>
                <w:sz w:val="18"/>
                <w:szCs w:val="18"/>
              </w:rPr>
              <w:t>不击穿、不闪络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40" w:hRule="atLeast"/>
          <w:jc w:val="center"/>
        </w:trPr>
        <w:tc>
          <w:tcPr>
            <w:tcW w:w="3284" w:type="dxa"/>
            <w:vAlign w:val="center"/>
          </w:tcPr>
          <w:p>
            <w:pPr>
              <w:jc w:val="center"/>
              <w:rPr>
                <w:color w:val="000000"/>
                <w:sz w:val="18"/>
                <w:szCs w:val="18"/>
              </w:rPr>
            </w:pPr>
            <w:r>
              <w:rPr>
                <w:color w:val="000000"/>
                <w:sz w:val="18"/>
                <w:szCs w:val="18"/>
              </w:rPr>
              <w:t>交流耐压</w:t>
            </w:r>
          </w:p>
        </w:tc>
        <w:tc>
          <w:tcPr>
            <w:tcW w:w="4388" w:type="dxa"/>
            <w:vAlign w:val="center"/>
          </w:tcPr>
          <w:p>
            <w:pPr>
              <w:jc w:val="center"/>
              <w:rPr>
                <w:color w:val="000000"/>
                <w:sz w:val="18"/>
                <w:szCs w:val="18"/>
              </w:rPr>
            </w:pPr>
            <w:r>
              <w:rPr>
                <w:color w:val="000000"/>
                <w:sz w:val="18"/>
                <w:szCs w:val="18"/>
              </w:rPr>
              <w:t>2.5U0，15min.</w:t>
            </w:r>
          </w:p>
        </w:tc>
        <w:tc>
          <w:tcPr>
            <w:tcW w:w="2182" w:type="dxa"/>
            <w:vAlign w:val="center"/>
          </w:tcPr>
          <w:p>
            <w:pPr>
              <w:jc w:val="center"/>
              <w:rPr>
                <w:color w:val="000000"/>
                <w:sz w:val="18"/>
                <w:szCs w:val="18"/>
              </w:rPr>
            </w:pPr>
            <w:r>
              <w:rPr>
                <w:color w:val="000000"/>
                <w:sz w:val="18"/>
                <w:szCs w:val="18"/>
              </w:rPr>
              <w:t>不击穿、不闪络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3284" w:type="dxa"/>
            <w:vAlign w:val="center"/>
          </w:tcPr>
          <w:p>
            <w:pPr>
              <w:jc w:val="center"/>
              <w:rPr>
                <w:color w:val="000000"/>
                <w:sz w:val="18"/>
                <w:szCs w:val="18"/>
              </w:rPr>
            </w:pPr>
            <w:r>
              <w:rPr>
                <w:color w:val="000000"/>
                <w:sz w:val="18"/>
                <w:szCs w:val="18"/>
              </w:rPr>
              <w:t>潮湿试验</w:t>
            </w:r>
          </w:p>
        </w:tc>
        <w:tc>
          <w:tcPr>
            <w:tcW w:w="4388" w:type="dxa"/>
            <w:vAlign w:val="center"/>
          </w:tcPr>
          <w:p>
            <w:pPr>
              <w:jc w:val="center"/>
              <w:rPr>
                <w:color w:val="000000"/>
                <w:sz w:val="18"/>
                <w:szCs w:val="18"/>
              </w:rPr>
            </w:pPr>
            <w:r>
              <w:rPr>
                <w:color w:val="000000"/>
                <w:sz w:val="18"/>
                <w:szCs w:val="18"/>
              </w:rPr>
              <w:t>1.25U0，300h</w:t>
            </w:r>
          </w:p>
        </w:tc>
        <w:tc>
          <w:tcPr>
            <w:tcW w:w="2182" w:type="dxa"/>
            <w:vAlign w:val="center"/>
          </w:tcPr>
          <w:p>
            <w:pPr>
              <w:jc w:val="center"/>
              <w:rPr>
                <w:color w:val="000000"/>
                <w:sz w:val="18"/>
                <w:szCs w:val="18"/>
              </w:rPr>
            </w:pPr>
            <w:r>
              <w:rPr>
                <w:color w:val="000000"/>
                <w:sz w:val="18"/>
                <w:szCs w:val="18"/>
              </w:rPr>
              <w:t>通过不发生击穿、闪络和过电流释放</w:t>
            </w:r>
          </w:p>
        </w:tc>
      </w:tr>
    </w:tbl>
    <w:p>
      <w:pPr>
        <w:pStyle w:val="96"/>
        <w:spacing w:beforeLines="0" w:afterLines="0" w:line="360" w:lineRule="auto"/>
        <w:ind w:left="113" w:hanging="113" w:hangingChars="54"/>
        <w:jc w:val="center"/>
        <w:outlineLvl w:val="1"/>
        <w:rPr>
          <w:rFonts w:ascii="Calibri" w:hAnsi="Calibri"/>
          <w:sz w:val="24"/>
        </w:rPr>
      </w:pPr>
      <w:bookmarkStart w:id="215" w:name="_Toc417246378"/>
      <w:bookmarkStart w:id="216" w:name="_Toc387856705"/>
      <w:bookmarkStart w:id="217" w:name="_Toc9094"/>
      <w:r>
        <w:rPr>
          <w:rFonts w:hint="eastAsia" w:ascii="Times New Roman"/>
          <w:sz w:val="21"/>
          <w:szCs w:val="21"/>
        </w:rPr>
        <w:t>附录</w:t>
      </w:r>
      <w:r>
        <w:rPr>
          <w:rFonts w:ascii="Times New Roman"/>
          <w:sz w:val="21"/>
          <w:szCs w:val="21"/>
        </w:rPr>
        <w:t>B</w:t>
      </w:r>
      <w:r>
        <w:rPr>
          <w:rFonts w:hint="eastAsia" w:ascii="Times New Roman"/>
          <w:sz w:val="21"/>
          <w:szCs w:val="21"/>
        </w:rPr>
        <w:t>：</w:t>
      </w:r>
      <w:r>
        <w:rPr>
          <w:rFonts w:ascii="Times New Roman"/>
          <w:sz w:val="21"/>
          <w:szCs w:val="21"/>
        </w:rPr>
        <w:t>户外终端性能要求</w:t>
      </w:r>
      <w:bookmarkEnd w:id="215"/>
      <w:bookmarkEnd w:id="216"/>
      <w:bookmarkEnd w:id="217"/>
    </w:p>
    <w:tbl>
      <w:tblPr>
        <w:tblStyle w:val="38"/>
        <w:tblW w:w="985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84"/>
        <w:gridCol w:w="4538"/>
        <w:gridCol w:w="203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284" w:type="dxa"/>
            <w:vAlign w:val="center"/>
          </w:tcPr>
          <w:p>
            <w:pPr>
              <w:jc w:val="center"/>
              <w:rPr>
                <w:color w:val="000000"/>
                <w:sz w:val="18"/>
                <w:szCs w:val="18"/>
              </w:rPr>
            </w:pPr>
            <w:r>
              <w:rPr>
                <w:color w:val="000000"/>
                <w:sz w:val="18"/>
                <w:szCs w:val="18"/>
              </w:rPr>
              <w:t>试验项目</w:t>
            </w:r>
          </w:p>
        </w:tc>
        <w:tc>
          <w:tcPr>
            <w:tcW w:w="4538" w:type="dxa"/>
            <w:vAlign w:val="center"/>
          </w:tcPr>
          <w:p>
            <w:pPr>
              <w:jc w:val="center"/>
              <w:rPr>
                <w:color w:val="000000"/>
                <w:sz w:val="18"/>
                <w:szCs w:val="18"/>
              </w:rPr>
            </w:pPr>
            <w:r>
              <w:rPr>
                <w:color w:val="000000"/>
                <w:sz w:val="18"/>
                <w:szCs w:val="18"/>
              </w:rPr>
              <w:t>试验条件及标准</w:t>
            </w:r>
          </w:p>
        </w:tc>
        <w:tc>
          <w:tcPr>
            <w:tcW w:w="2032" w:type="dxa"/>
            <w:vAlign w:val="center"/>
          </w:tcPr>
          <w:p>
            <w:pPr>
              <w:jc w:val="center"/>
              <w:rPr>
                <w:color w:val="000000"/>
                <w:sz w:val="18"/>
                <w:szCs w:val="18"/>
              </w:rPr>
            </w:pPr>
            <w:r>
              <w:rPr>
                <w:color w:val="000000"/>
                <w:sz w:val="18"/>
                <w:szCs w:val="18"/>
              </w:rPr>
              <w:t>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交流耐压或直流耐压</w:t>
            </w:r>
          </w:p>
        </w:tc>
        <w:tc>
          <w:tcPr>
            <w:tcW w:w="4538" w:type="dxa"/>
            <w:vAlign w:val="center"/>
          </w:tcPr>
          <w:p>
            <w:pPr>
              <w:ind w:firstLine="360" w:firstLineChars="200"/>
              <w:jc w:val="center"/>
              <w:rPr>
                <w:color w:val="000000"/>
                <w:sz w:val="18"/>
                <w:szCs w:val="18"/>
              </w:rPr>
            </w:pPr>
            <w:r>
              <w:rPr>
                <w:color w:val="000000"/>
                <w:sz w:val="18"/>
                <w:szCs w:val="18"/>
              </w:rPr>
              <w:t>4.5U05min或4U0， 15min不闪络、不击穿</w:t>
            </w:r>
          </w:p>
        </w:tc>
        <w:tc>
          <w:tcPr>
            <w:tcW w:w="2032" w:type="dxa"/>
            <w:vAlign w:val="center"/>
          </w:tcPr>
          <w:p>
            <w:pPr>
              <w:ind w:firstLine="360" w:firstLineChars="200"/>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局部放电</w:t>
            </w:r>
          </w:p>
        </w:tc>
        <w:tc>
          <w:tcPr>
            <w:tcW w:w="4538" w:type="dxa"/>
            <w:vAlign w:val="center"/>
          </w:tcPr>
          <w:p>
            <w:pPr>
              <w:jc w:val="center"/>
              <w:rPr>
                <w:color w:val="000000"/>
                <w:sz w:val="18"/>
                <w:szCs w:val="18"/>
              </w:rPr>
            </w:pPr>
            <w:r>
              <w:rPr>
                <w:color w:val="000000"/>
                <w:sz w:val="18"/>
                <w:szCs w:val="18"/>
              </w:rPr>
              <w:t xml:space="preserve">在1.73U0下，≤5pc </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冲击电压试验（在导体最高温加5-10°C）</w:t>
            </w:r>
          </w:p>
        </w:tc>
        <w:tc>
          <w:tcPr>
            <w:tcW w:w="4538" w:type="dxa"/>
            <w:vAlign w:val="center"/>
          </w:tcPr>
          <w:p>
            <w:pPr>
              <w:jc w:val="center"/>
              <w:rPr>
                <w:color w:val="000000"/>
                <w:sz w:val="18"/>
                <w:szCs w:val="18"/>
              </w:rPr>
            </w:pPr>
            <w:r>
              <w:rPr>
                <w:color w:val="000000"/>
                <w:sz w:val="18"/>
                <w:szCs w:val="18"/>
              </w:rPr>
              <w:t>95kV，±10次</w:t>
            </w:r>
          </w:p>
        </w:tc>
        <w:tc>
          <w:tcPr>
            <w:tcW w:w="2032" w:type="dxa"/>
            <w:vAlign w:val="center"/>
          </w:tcPr>
          <w:p>
            <w:pPr>
              <w:jc w:val="center"/>
              <w:rPr>
                <w:color w:val="000000"/>
                <w:sz w:val="18"/>
                <w:szCs w:val="18"/>
              </w:rPr>
            </w:pPr>
            <w:r>
              <w:rPr>
                <w:color w:val="000000"/>
                <w:sz w:val="18"/>
                <w:szCs w:val="18"/>
              </w:rPr>
              <w:t>不击穿、不闪络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恒压负荷循环试验（在空气中）</w:t>
            </w:r>
          </w:p>
        </w:tc>
        <w:tc>
          <w:tcPr>
            <w:tcW w:w="4538" w:type="dxa"/>
            <w:vAlign w:val="center"/>
          </w:tcPr>
          <w:p>
            <w:pPr>
              <w:jc w:val="center"/>
              <w:rPr>
                <w:color w:val="000000"/>
                <w:sz w:val="18"/>
                <w:szCs w:val="18"/>
              </w:rPr>
            </w:pPr>
            <w:r>
              <w:rPr>
                <w:color w:val="000000"/>
                <w:sz w:val="18"/>
                <w:szCs w:val="18"/>
              </w:rPr>
              <w:t>导体施加电压2.5U0，并加热至（90-95）°C，其中加热5h，冷却3h，共30次循环</w:t>
            </w:r>
          </w:p>
        </w:tc>
        <w:tc>
          <w:tcPr>
            <w:tcW w:w="2032" w:type="dxa"/>
            <w:vAlign w:val="center"/>
          </w:tcPr>
          <w:p>
            <w:pPr>
              <w:jc w:val="center"/>
              <w:rPr>
                <w:color w:val="000000"/>
                <w:sz w:val="18"/>
                <w:szCs w:val="18"/>
              </w:rPr>
            </w:pPr>
            <w:r>
              <w:rPr>
                <w:color w:val="000000"/>
                <w:sz w:val="18"/>
                <w:szCs w:val="18"/>
              </w:rPr>
              <w:t>不击穿及由以下试验评定试验结果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局部放电（在导体最高温加5-10°C和环境温度下）</w:t>
            </w:r>
          </w:p>
        </w:tc>
        <w:tc>
          <w:tcPr>
            <w:tcW w:w="4538" w:type="dxa"/>
            <w:vAlign w:val="center"/>
          </w:tcPr>
          <w:p>
            <w:pPr>
              <w:jc w:val="center"/>
              <w:rPr>
                <w:color w:val="000000"/>
                <w:sz w:val="18"/>
                <w:szCs w:val="18"/>
              </w:rPr>
            </w:pPr>
            <w:r>
              <w:rPr>
                <w:color w:val="000000"/>
                <w:sz w:val="18"/>
                <w:szCs w:val="18"/>
              </w:rPr>
              <w:t xml:space="preserve">在1.73U0下，≤5pc </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tcPr>
          <w:p>
            <w:pPr>
              <w:jc w:val="center"/>
              <w:rPr>
                <w:color w:val="000000"/>
                <w:sz w:val="18"/>
                <w:szCs w:val="18"/>
              </w:rPr>
            </w:pPr>
            <w:r>
              <w:rPr>
                <w:color w:val="000000"/>
                <w:sz w:val="18"/>
                <w:szCs w:val="18"/>
              </w:rPr>
              <w:t>短路热稳定（屏蔽）</w:t>
            </w:r>
          </w:p>
        </w:tc>
        <w:tc>
          <w:tcPr>
            <w:tcW w:w="4538" w:type="dxa"/>
          </w:tcPr>
          <w:p>
            <w:pPr>
              <w:jc w:val="center"/>
              <w:rPr>
                <w:color w:val="000000"/>
                <w:sz w:val="18"/>
                <w:szCs w:val="18"/>
              </w:rPr>
            </w:pPr>
            <w:r>
              <w:rPr>
                <w:color w:val="000000"/>
                <w:sz w:val="18"/>
                <w:szCs w:val="18"/>
              </w:rPr>
              <w:t>在电缆屏蔽的Iλυ下，短路2次，无可见损伤</w:t>
            </w:r>
          </w:p>
        </w:tc>
        <w:tc>
          <w:tcPr>
            <w:tcW w:w="2032" w:type="dxa"/>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tcPr>
          <w:p>
            <w:pPr>
              <w:jc w:val="center"/>
              <w:rPr>
                <w:color w:val="000000"/>
                <w:sz w:val="18"/>
                <w:szCs w:val="18"/>
              </w:rPr>
            </w:pPr>
            <w:r>
              <w:rPr>
                <w:color w:val="000000"/>
                <w:sz w:val="18"/>
                <w:szCs w:val="18"/>
              </w:rPr>
              <w:t>短路热稳定（导体）</w:t>
            </w:r>
          </w:p>
        </w:tc>
        <w:tc>
          <w:tcPr>
            <w:tcW w:w="4538" w:type="dxa"/>
          </w:tcPr>
          <w:p>
            <w:pPr>
              <w:jc w:val="center"/>
              <w:rPr>
                <w:color w:val="000000"/>
                <w:sz w:val="18"/>
                <w:szCs w:val="18"/>
              </w:rPr>
            </w:pPr>
            <w:r>
              <w:rPr>
                <w:color w:val="000000"/>
                <w:sz w:val="18"/>
                <w:szCs w:val="18"/>
              </w:rPr>
              <w:t>升高到电缆导体的θsc下，短路2次，无可见损伤</w:t>
            </w:r>
          </w:p>
        </w:tc>
        <w:tc>
          <w:tcPr>
            <w:tcW w:w="2032" w:type="dxa"/>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tcPr>
          <w:p>
            <w:pPr>
              <w:jc w:val="center"/>
              <w:rPr>
                <w:color w:val="000000"/>
                <w:sz w:val="18"/>
                <w:szCs w:val="18"/>
              </w:rPr>
            </w:pPr>
            <w:r>
              <w:rPr>
                <w:color w:val="000000"/>
                <w:sz w:val="18"/>
                <w:szCs w:val="18"/>
              </w:rPr>
              <w:t>短路动稳定</w:t>
            </w:r>
          </w:p>
        </w:tc>
        <w:tc>
          <w:tcPr>
            <w:tcW w:w="4538" w:type="dxa"/>
          </w:tcPr>
          <w:p>
            <w:pPr>
              <w:jc w:val="center"/>
              <w:rPr>
                <w:color w:val="000000"/>
                <w:sz w:val="18"/>
                <w:szCs w:val="18"/>
              </w:rPr>
            </w:pPr>
            <w:r>
              <w:rPr>
                <w:color w:val="000000"/>
                <w:sz w:val="18"/>
                <w:szCs w:val="18"/>
              </w:rPr>
              <w:t>在Id下，短路1次，无可见损伤</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冲击电压试验</w:t>
            </w:r>
          </w:p>
        </w:tc>
        <w:tc>
          <w:tcPr>
            <w:tcW w:w="4538" w:type="dxa"/>
            <w:vAlign w:val="center"/>
          </w:tcPr>
          <w:p>
            <w:pPr>
              <w:jc w:val="center"/>
              <w:rPr>
                <w:color w:val="000000"/>
                <w:sz w:val="18"/>
                <w:szCs w:val="18"/>
              </w:rPr>
            </w:pPr>
            <w:r>
              <w:rPr>
                <w:color w:val="000000"/>
                <w:sz w:val="18"/>
                <w:szCs w:val="18"/>
              </w:rPr>
              <w:t>95kV，±10次</w:t>
            </w:r>
          </w:p>
        </w:tc>
        <w:tc>
          <w:tcPr>
            <w:tcW w:w="2032" w:type="dxa"/>
            <w:vAlign w:val="center"/>
          </w:tcPr>
          <w:p>
            <w:pPr>
              <w:jc w:val="center"/>
              <w:rPr>
                <w:color w:val="000000"/>
                <w:sz w:val="18"/>
                <w:szCs w:val="18"/>
              </w:rPr>
            </w:pPr>
            <w:r>
              <w:rPr>
                <w:color w:val="000000"/>
                <w:sz w:val="18"/>
                <w:szCs w:val="18"/>
              </w:rPr>
              <w:t>不击穿、不闪络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交流耐压</w:t>
            </w:r>
          </w:p>
        </w:tc>
        <w:tc>
          <w:tcPr>
            <w:tcW w:w="4538" w:type="dxa"/>
            <w:vAlign w:val="center"/>
          </w:tcPr>
          <w:p>
            <w:pPr>
              <w:jc w:val="center"/>
              <w:rPr>
                <w:color w:val="000000"/>
                <w:sz w:val="18"/>
                <w:szCs w:val="18"/>
              </w:rPr>
            </w:pPr>
            <w:r>
              <w:rPr>
                <w:color w:val="000000"/>
                <w:sz w:val="18"/>
                <w:szCs w:val="18"/>
              </w:rPr>
              <w:t>2.5U0， 15min</w:t>
            </w:r>
          </w:p>
        </w:tc>
        <w:tc>
          <w:tcPr>
            <w:tcW w:w="2032" w:type="dxa"/>
            <w:vAlign w:val="center"/>
          </w:tcPr>
          <w:p>
            <w:pPr>
              <w:jc w:val="center"/>
              <w:rPr>
                <w:color w:val="000000"/>
                <w:sz w:val="18"/>
                <w:szCs w:val="18"/>
              </w:rPr>
            </w:pPr>
            <w:r>
              <w:rPr>
                <w:color w:val="000000"/>
                <w:sz w:val="18"/>
                <w:szCs w:val="18"/>
              </w:rPr>
              <w:t>不击穿、不闪络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盐雾试验</w:t>
            </w:r>
          </w:p>
        </w:tc>
        <w:tc>
          <w:tcPr>
            <w:tcW w:w="4538" w:type="dxa"/>
            <w:vAlign w:val="center"/>
          </w:tcPr>
          <w:p>
            <w:pPr>
              <w:jc w:val="center"/>
              <w:rPr>
                <w:color w:val="000000"/>
                <w:sz w:val="18"/>
                <w:szCs w:val="18"/>
              </w:rPr>
            </w:pPr>
            <w:r>
              <w:rPr>
                <w:color w:val="000000"/>
                <w:sz w:val="18"/>
                <w:szCs w:val="18"/>
              </w:rPr>
              <w:t>1.25U0，1000h</w:t>
            </w:r>
          </w:p>
        </w:tc>
        <w:tc>
          <w:tcPr>
            <w:tcW w:w="2032" w:type="dxa"/>
            <w:vAlign w:val="center"/>
          </w:tcPr>
          <w:p>
            <w:pPr>
              <w:jc w:val="center"/>
              <w:rPr>
                <w:color w:val="000000"/>
                <w:sz w:val="18"/>
                <w:szCs w:val="18"/>
              </w:rPr>
            </w:pPr>
            <w:r>
              <w:rPr>
                <w:color w:val="000000"/>
                <w:sz w:val="18"/>
                <w:szCs w:val="18"/>
              </w:rPr>
              <w:t>通过不发生击穿、闪络和过电流释放</w:t>
            </w:r>
          </w:p>
        </w:tc>
      </w:tr>
    </w:tbl>
    <w:p>
      <w:pPr>
        <w:pStyle w:val="96"/>
        <w:spacing w:beforeLines="0" w:afterLines="0" w:line="360" w:lineRule="auto"/>
        <w:ind w:left="113" w:hanging="113" w:hangingChars="54"/>
        <w:jc w:val="center"/>
        <w:outlineLvl w:val="1"/>
        <w:rPr>
          <w:rFonts w:ascii="Times New Roman"/>
          <w:sz w:val="21"/>
          <w:szCs w:val="21"/>
        </w:rPr>
      </w:pPr>
      <w:bookmarkStart w:id="218" w:name="_Toc387856706"/>
      <w:bookmarkStart w:id="219" w:name="_Toc417246379"/>
      <w:bookmarkStart w:id="220" w:name="_Toc16660"/>
      <w:r>
        <w:rPr>
          <w:rFonts w:hint="eastAsia" w:ascii="Times New Roman"/>
          <w:sz w:val="21"/>
          <w:szCs w:val="21"/>
        </w:rPr>
        <w:t>附录</w:t>
      </w:r>
      <w:r>
        <w:rPr>
          <w:rFonts w:ascii="Times New Roman"/>
          <w:sz w:val="21"/>
          <w:szCs w:val="21"/>
        </w:rPr>
        <w:t>C</w:t>
      </w:r>
      <w:r>
        <w:rPr>
          <w:rFonts w:hint="eastAsia" w:ascii="Times New Roman"/>
          <w:sz w:val="21"/>
          <w:szCs w:val="21"/>
        </w:rPr>
        <w:t>：电缆直接接头性能要求</w:t>
      </w:r>
      <w:bookmarkEnd w:id="218"/>
      <w:bookmarkEnd w:id="219"/>
      <w:bookmarkEnd w:id="220"/>
    </w:p>
    <w:tbl>
      <w:tblPr>
        <w:tblStyle w:val="38"/>
        <w:tblW w:w="985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84"/>
        <w:gridCol w:w="4538"/>
        <w:gridCol w:w="203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284" w:type="dxa"/>
            <w:vAlign w:val="center"/>
          </w:tcPr>
          <w:p>
            <w:pPr>
              <w:jc w:val="center"/>
              <w:rPr>
                <w:color w:val="000000"/>
                <w:sz w:val="18"/>
                <w:szCs w:val="18"/>
              </w:rPr>
            </w:pPr>
            <w:r>
              <w:rPr>
                <w:color w:val="000000"/>
                <w:sz w:val="18"/>
                <w:szCs w:val="18"/>
              </w:rPr>
              <w:t>试验项目</w:t>
            </w:r>
          </w:p>
        </w:tc>
        <w:tc>
          <w:tcPr>
            <w:tcW w:w="4538" w:type="dxa"/>
            <w:vAlign w:val="center"/>
          </w:tcPr>
          <w:p>
            <w:pPr>
              <w:jc w:val="center"/>
              <w:rPr>
                <w:color w:val="000000"/>
                <w:sz w:val="18"/>
                <w:szCs w:val="18"/>
              </w:rPr>
            </w:pPr>
            <w:r>
              <w:rPr>
                <w:color w:val="000000"/>
                <w:sz w:val="18"/>
                <w:szCs w:val="18"/>
              </w:rPr>
              <w:t>试验条件及标准</w:t>
            </w:r>
          </w:p>
        </w:tc>
        <w:tc>
          <w:tcPr>
            <w:tcW w:w="2032" w:type="dxa"/>
            <w:vAlign w:val="center"/>
          </w:tcPr>
          <w:p>
            <w:pPr>
              <w:jc w:val="center"/>
              <w:rPr>
                <w:color w:val="000000"/>
                <w:sz w:val="18"/>
                <w:szCs w:val="18"/>
              </w:rPr>
            </w:pPr>
            <w:r>
              <w:rPr>
                <w:color w:val="000000"/>
                <w:sz w:val="18"/>
                <w:szCs w:val="18"/>
              </w:rPr>
              <w:t>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交流耐压或直流耐压</w:t>
            </w:r>
          </w:p>
        </w:tc>
        <w:tc>
          <w:tcPr>
            <w:tcW w:w="4538" w:type="dxa"/>
            <w:vAlign w:val="center"/>
          </w:tcPr>
          <w:p>
            <w:pPr>
              <w:ind w:firstLine="360" w:firstLineChars="200"/>
              <w:jc w:val="center"/>
              <w:rPr>
                <w:color w:val="000000"/>
                <w:sz w:val="18"/>
                <w:szCs w:val="18"/>
              </w:rPr>
            </w:pPr>
            <w:r>
              <w:rPr>
                <w:color w:val="000000"/>
                <w:sz w:val="18"/>
                <w:szCs w:val="18"/>
              </w:rPr>
              <w:t>4.5U05min或4U0， 15min不闪络、不击穿</w:t>
            </w:r>
          </w:p>
        </w:tc>
        <w:tc>
          <w:tcPr>
            <w:tcW w:w="2032" w:type="dxa"/>
            <w:vAlign w:val="center"/>
          </w:tcPr>
          <w:p>
            <w:pPr>
              <w:ind w:firstLine="360" w:firstLineChars="200"/>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局部放电</w:t>
            </w:r>
          </w:p>
        </w:tc>
        <w:tc>
          <w:tcPr>
            <w:tcW w:w="4538" w:type="dxa"/>
            <w:vAlign w:val="center"/>
          </w:tcPr>
          <w:p>
            <w:pPr>
              <w:jc w:val="center"/>
              <w:rPr>
                <w:color w:val="000000"/>
                <w:sz w:val="18"/>
                <w:szCs w:val="18"/>
              </w:rPr>
            </w:pPr>
            <w:r>
              <w:rPr>
                <w:color w:val="000000"/>
                <w:sz w:val="18"/>
                <w:szCs w:val="18"/>
              </w:rPr>
              <w:t>在1.73U0下，≤5pc</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冲击电压试验（在导体最高温加5-10°C）</w:t>
            </w:r>
          </w:p>
        </w:tc>
        <w:tc>
          <w:tcPr>
            <w:tcW w:w="4538" w:type="dxa"/>
            <w:vAlign w:val="center"/>
          </w:tcPr>
          <w:p>
            <w:pPr>
              <w:jc w:val="center"/>
              <w:rPr>
                <w:color w:val="000000"/>
                <w:sz w:val="18"/>
                <w:szCs w:val="18"/>
              </w:rPr>
            </w:pPr>
            <w:r>
              <w:rPr>
                <w:color w:val="000000"/>
                <w:sz w:val="18"/>
                <w:szCs w:val="18"/>
              </w:rPr>
              <w:t>95kV，±10次</w:t>
            </w:r>
          </w:p>
        </w:tc>
        <w:tc>
          <w:tcPr>
            <w:tcW w:w="2032" w:type="dxa"/>
            <w:vAlign w:val="center"/>
          </w:tcPr>
          <w:p>
            <w:pPr>
              <w:jc w:val="center"/>
              <w:rPr>
                <w:color w:val="000000"/>
                <w:sz w:val="18"/>
                <w:szCs w:val="18"/>
              </w:rPr>
            </w:pPr>
            <w:r>
              <w:rPr>
                <w:color w:val="000000"/>
                <w:sz w:val="18"/>
                <w:szCs w:val="18"/>
              </w:rPr>
              <w:t>不击穿及由以下试验评定试验结果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恒压负荷循环试验（在空气中）</w:t>
            </w:r>
          </w:p>
        </w:tc>
        <w:tc>
          <w:tcPr>
            <w:tcW w:w="4538" w:type="dxa"/>
            <w:vAlign w:val="center"/>
          </w:tcPr>
          <w:p>
            <w:pPr>
              <w:jc w:val="center"/>
              <w:rPr>
                <w:color w:val="000000"/>
                <w:sz w:val="18"/>
                <w:szCs w:val="18"/>
              </w:rPr>
            </w:pPr>
            <w:r>
              <w:rPr>
                <w:color w:val="000000"/>
                <w:sz w:val="18"/>
                <w:szCs w:val="18"/>
              </w:rPr>
              <w:t>施加电压2.5U0，并加热至（90-95）°C，其中加热5h，冷却3h，共30循环次</w:t>
            </w:r>
          </w:p>
        </w:tc>
        <w:tc>
          <w:tcPr>
            <w:tcW w:w="2032" w:type="dxa"/>
            <w:vAlign w:val="center"/>
          </w:tcPr>
          <w:p>
            <w:pPr>
              <w:jc w:val="center"/>
              <w:rPr>
                <w:color w:val="000000"/>
                <w:sz w:val="18"/>
                <w:szCs w:val="18"/>
              </w:rPr>
            </w:pPr>
            <w:r>
              <w:rPr>
                <w:color w:val="000000"/>
                <w:sz w:val="18"/>
                <w:szCs w:val="18"/>
              </w:rPr>
              <w:t>不击穿及由以下试验评定试验结果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恒压负荷循环试验（在水中）</w:t>
            </w:r>
          </w:p>
        </w:tc>
        <w:tc>
          <w:tcPr>
            <w:tcW w:w="4538" w:type="dxa"/>
            <w:vAlign w:val="center"/>
          </w:tcPr>
          <w:p>
            <w:pPr>
              <w:jc w:val="center"/>
              <w:rPr>
                <w:color w:val="000000"/>
                <w:sz w:val="18"/>
                <w:szCs w:val="18"/>
              </w:rPr>
            </w:pPr>
            <w:r>
              <w:rPr>
                <w:color w:val="000000"/>
                <w:sz w:val="18"/>
                <w:szCs w:val="18"/>
              </w:rPr>
              <w:t>施加电压2.5U0，并加热至（90-95）°C，其中加热5h，冷却3h，共30循环次</w:t>
            </w:r>
          </w:p>
        </w:tc>
        <w:tc>
          <w:tcPr>
            <w:tcW w:w="2032" w:type="dxa"/>
            <w:vAlign w:val="center"/>
          </w:tcPr>
          <w:p>
            <w:pPr>
              <w:jc w:val="center"/>
              <w:rPr>
                <w:color w:val="000000"/>
                <w:sz w:val="18"/>
                <w:szCs w:val="18"/>
              </w:rPr>
            </w:pPr>
            <w:r>
              <w:rPr>
                <w:color w:val="000000"/>
                <w:sz w:val="18"/>
                <w:szCs w:val="18"/>
              </w:rPr>
              <w:t>不击穿及由以下试验评定试验结果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局部放电（在导体最高温加5-10°C和环境温度下）</w:t>
            </w:r>
          </w:p>
        </w:tc>
        <w:tc>
          <w:tcPr>
            <w:tcW w:w="4538" w:type="dxa"/>
            <w:vAlign w:val="center"/>
          </w:tcPr>
          <w:p>
            <w:pPr>
              <w:jc w:val="center"/>
              <w:rPr>
                <w:color w:val="000000"/>
                <w:sz w:val="18"/>
                <w:szCs w:val="18"/>
              </w:rPr>
            </w:pPr>
            <w:r>
              <w:rPr>
                <w:color w:val="000000"/>
                <w:sz w:val="18"/>
                <w:szCs w:val="18"/>
              </w:rPr>
              <w:t>在+1.73U0下，≤5pc</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短路热稳定（屏蔽）</w:t>
            </w:r>
          </w:p>
        </w:tc>
        <w:tc>
          <w:tcPr>
            <w:tcW w:w="4538" w:type="dxa"/>
            <w:vAlign w:val="center"/>
          </w:tcPr>
          <w:p>
            <w:pPr>
              <w:jc w:val="center"/>
              <w:rPr>
                <w:color w:val="000000"/>
                <w:sz w:val="18"/>
                <w:szCs w:val="18"/>
              </w:rPr>
            </w:pPr>
            <w:r>
              <w:rPr>
                <w:color w:val="000000"/>
                <w:sz w:val="18"/>
                <w:szCs w:val="18"/>
              </w:rPr>
              <w:t>在电缆屏蔽的Iλυ下，短2次，无可见损伤</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短路热稳定（导体）</w:t>
            </w:r>
          </w:p>
        </w:tc>
        <w:tc>
          <w:tcPr>
            <w:tcW w:w="4538" w:type="dxa"/>
            <w:vAlign w:val="center"/>
          </w:tcPr>
          <w:p>
            <w:pPr>
              <w:jc w:val="center"/>
              <w:rPr>
                <w:color w:val="000000"/>
                <w:sz w:val="18"/>
                <w:szCs w:val="18"/>
              </w:rPr>
            </w:pPr>
            <w:r>
              <w:rPr>
                <w:color w:val="000000"/>
                <w:sz w:val="18"/>
                <w:szCs w:val="18"/>
              </w:rPr>
              <w:t>升高到电缆导体的θsc下，短路2次，无可见损伤</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短路动稳定</w:t>
            </w:r>
          </w:p>
        </w:tc>
        <w:tc>
          <w:tcPr>
            <w:tcW w:w="4538" w:type="dxa"/>
            <w:vAlign w:val="center"/>
          </w:tcPr>
          <w:p>
            <w:pPr>
              <w:jc w:val="center"/>
              <w:rPr>
                <w:color w:val="000000"/>
                <w:sz w:val="18"/>
                <w:szCs w:val="18"/>
              </w:rPr>
            </w:pPr>
            <w:r>
              <w:rPr>
                <w:color w:val="000000"/>
                <w:sz w:val="18"/>
                <w:szCs w:val="18"/>
              </w:rPr>
              <w:t>在Id下，短路1次，无可见损伤</w:t>
            </w:r>
          </w:p>
        </w:tc>
        <w:tc>
          <w:tcPr>
            <w:tcW w:w="2032" w:type="dxa"/>
            <w:vAlign w:val="center"/>
          </w:tcPr>
          <w:p>
            <w:pPr>
              <w:jc w:val="center"/>
              <w:rPr>
                <w:color w:val="000000"/>
                <w:sz w:val="18"/>
                <w:szCs w:val="18"/>
              </w:rPr>
            </w:pPr>
            <w:r>
              <w:rPr>
                <w:color w:val="000000"/>
                <w:sz w:val="18"/>
                <w:szCs w:val="18"/>
              </w:rPr>
              <w:t>通过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冲击电压试验</w:t>
            </w:r>
          </w:p>
        </w:tc>
        <w:tc>
          <w:tcPr>
            <w:tcW w:w="4538" w:type="dxa"/>
            <w:vAlign w:val="center"/>
          </w:tcPr>
          <w:p>
            <w:pPr>
              <w:jc w:val="center"/>
              <w:rPr>
                <w:color w:val="000000"/>
                <w:sz w:val="18"/>
                <w:szCs w:val="18"/>
              </w:rPr>
            </w:pPr>
            <w:r>
              <w:rPr>
                <w:color w:val="000000"/>
                <w:sz w:val="18"/>
                <w:szCs w:val="18"/>
              </w:rPr>
              <w:t>95kV，±10次</w:t>
            </w:r>
          </w:p>
        </w:tc>
        <w:tc>
          <w:tcPr>
            <w:tcW w:w="2032" w:type="dxa"/>
            <w:vAlign w:val="center"/>
          </w:tcPr>
          <w:p>
            <w:pPr>
              <w:jc w:val="center"/>
              <w:rPr>
                <w:color w:val="000000"/>
                <w:sz w:val="18"/>
                <w:szCs w:val="18"/>
              </w:rPr>
            </w:pPr>
            <w:r>
              <w:rPr>
                <w:color w:val="000000"/>
                <w:sz w:val="18"/>
                <w:szCs w:val="18"/>
              </w:rPr>
              <w:t>不闪络、不击穿</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284" w:type="dxa"/>
            <w:vAlign w:val="center"/>
          </w:tcPr>
          <w:p>
            <w:pPr>
              <w:jc w:val="center"/>
              <w:rPr>
                <w:color w:val="000000"/>
                <w:sz w:val="18"/>
                <w:szCs w:val="18"/>
              </w:rPr>
            </w:pPr>
            <w:r>
              <w:rPr>
                <w:color w:val="000000"/>
                <w:sz w:val="18"/>
                <w:szCs w:val="18"/>
              </w:rPr>
              <w:t>交流耐压</w:t>
            </w:r>
          </w:p>
        </w:tc>
        <w:tc>
          <w:tcPr>
            <w:tcW w:w="4538" w:type="dxa"/>
            <w:vAlign w:val="center"/>
          </w:tcPr>
          <w:p>
            <w:pPr>
              <w:jc w:val="center"/>
              <w:rPr>
                <w:color w:val="000000"/>
                <w:sz w:val="18"/>
                <w:szCs w:val="18"/>
              </w:rPr>
            </w:pPr>
            <w:r>
              <w:rPr>
                <w:color w:val="000000"/>
                <w:sz w:val="18"/>
                <w:szCs w:val="18"/>
              </w:rPr>
              <w:t>2.5U0，15min.</w:t>
            </w:r>
          </w:p>
        </w:tc>
        <w:tc>
          <w:tcPr>
            <w:tcW w:w="2032" w:type="dxa"/>
            <w:vAlign w:val="center"/>
          </w:tcPr>
          <w:p>
            <w:pPr>
              <w:jc w:val="center"/>
              <w:rPr>
                <w:color w:val="000000"/>
                <w:sz w:val="18"/>
                <w:szCs w:val="18"/>
              </w:rPr>
            </w:pPr>
            <w:r>
              <w:rPr>
                <w:color w:val="000000"/>
                <w:sz w:val="18"/>
                <w:szCs w:val="18"/>
              </w:rPr>
              <w:t>不闪络、不击穿</w:t>
            </w:r>
          </w:p>
        </w:tc>
      </w:tr>
    </w:tbl>
    <w:p>
      <w:pPr>
        <w:pStyle w:val="96"/>
        <w:spacing w:beforeLines="0" w:afterLines="0" w:line="360" w:lineRule="auto"/>
        <w:ind w:left="113" w:hanging="113" w:hangingChars="54"/>
        <w:jc w:val="center"/>
        <w:outlineLvl w:val="1"/>
        <w:rPr>
          <w:rFonts w:ascii="Times New Roman"/>
          <w:sz w:val="21"/>
          <w:szCs w:val="21"/>
        </w:rPr>
      </w:pPr>
      <w:bookmarkStart w:id="221" w:name="_Toc22778"/>
      <w:bookmarkStart w:id="222" w:name="_Toc417246380"/>
      <w:bookmarkStart w:id="223" w:name="_Toc387856707"/>
      <w:r>
        <w:rPr>
          <w:rFonts w:hint="eastAsia" w:ascii="Times New Roman"/>
          <w:sz w:val="21"/>
          <w:szCs w:val="21"/>
        </w:rPr>
        <w:t>附录</w:t>
      </w:r>
      <w:r>
        <w:rPr>
          <w:rFonts w:ascii="Times New Roman"/>
          <w:sz w:val="21"/>
          <w:szCs w:val="21"/>
        </w:rPr>
        <w:t>D</w:t>
      </w:r>
      <w:r>
        <w:rPr>
          <w:rFonts w:hint="eastAsia" w:ascii="Times New Roman"/>
          <w:sz w:val="21"/>
          <w:szCs w:val="21"/>
        </w:rPr>
        <w:t>：三元乙丙橡胶绝缘料性能</w:t>
      </w:r>
      <w:bookmarkEnd w:id="221"/>
      <w:bookmarkEnd w:id="222"/>
      <w:bookmarkEnd w:id="223"/>
    </w:p>
    <w:tbl>
      <w:tblPr>
        <w:tblStyle w:val="38"/>
        <w:tblW w:w="985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81"/>
        <w:gridCol w:w="1681"/>
        <w:gridCol w:w="2079"/>
        <w:gridCol w:w="1358"/>
        <w:gridCol w:w="1935"/>
        <w:gridCol w:w="19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881" w:type="dxa"/>
            <w:vAlign w:val="center"/>
          </w:tcPr>
          <w:p>
            <w:pPr>
              <w:jc w:val="center"/>
              <w:rPr>
                <w:color w:val="000000"/>
                <w:sz w:val="18"/>
                <w:szCs w:val="18"/>
              </w:rPr>
            </w:pPr>
            <w:r>
              <w:rPr>
                <w:rFonts w:hint="eastAsia"/>
                <w:color w:val="000000"/>
                <w:sz w:val="18"/>
                <w:szCs w:val="18"/>
              </w:rPr>
              <w:t>序号</w:t>
            </w:r>
          </w:p>
        </w:tc>
        <w:tc>
          <w:tcPr>
            <w:tcW w:w="3760" w:type="dxa"/>
            <w:gridSpan w:val="2"/>
            <w:vAlign w:val="center"/>
          </w:tcPr>
          <w:p>
            <w:pPr>
              <w:jc w:val="center"/>
              <w:rPr>
                <w:color w:val="000000"/>
                <w:sz w:val="18"/>
                <w:szCs w:val="18"/>
              </w:rPr>
            </w:pPr>
            <w:r>
              <w:rPr>
                <w:rFonts w:hint="eastAsia"/>
                <w:color w:val="000000"/>
                <w:sz w:val="18"/>
                <w:szCs w:val="18"/>
              </w:rPr>
              <w:t>项目</w:t>
            </w:r>
          </w:p>
        </w:tc>
        <w:tc>
          <w:tcPr>
            <w:tcW w:w="1358" w:type="dxa"/>
            <w:vAlign w:val="center"/>
          </w:tcPr>
          <w:p>
            <w:pPr>
              <w:jc w:val="center"/>
              <w:rPr>
                <w:color w:val="000000"/>
                <w:sz w:val="18"/>
                <w:szCs w:val="18"/>
              </w:rPr>
            </w:pPr>
            <w:r>
              <w:rPr>
                <w:rFonts w:hint="eastAsia"/>
                <w:color w:val="000000"/>
                <w:sz w:val="18"/>
                <w:szCs w:val="18"/>
              </w:rPr>
              <w:t>单位</w:t>
            </w:r>
          </w:p>
        </w:tc>
        <w:tc>
          <w:tcPr>
            <w:tcW w:w="1935" w:type="dxa"/>
            <w:vAlign w:val="center"/>
          </w:tcPr>
          <w:p>
            <w:pPr>
              <w:jc w:val="center"/>
              <w:rPr>
                <w:color w:val="000000"/>
                <w:sz w:val="18"/>
                <w:szCs w:val="18"/>
              </w:rPr>
            </w:pPr>
            <w:r>
              <w:rPr>
                <w:rFonts w:hint="eastAsia"/>
                <w:color w:val="000000"/>
                <w:sz w:val="18"/>
                <w:szCs w:val="18"/>
              </w:rPr>
              <w:t>绝缘料</w:t>
            </w:r>
          </w:p>
        </w:tc>
        <w:tc>
          <w:tcPr>
            <w:tcW w:w="1920" w:type="dxa"/>
            <w:vAlign w:val="center"/>
          </w:tcPr>
          <w:p>
            <w:pPr>
              <w:jc w:val="center"/>
              <w:rPr>
                <w:color w:val="000000"/>
                <w:sz w:val="18"/>
                <w:szCs w:val="18"/>
              </w:rPr>
            </w:pPr>
            <w:r>
              <w:rPr>
                <w:rFonts w:hint="eastAsia"/>
                <w:color w:val="000000"/>
                <w:sz w:val="18"/>
                <w:szCs w:val="18"/>
              </w:rPr>
              <w:t>半导电料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881" w:type="dxa"/>
            <w:vMerge w:val="restart"/>
            <w:vAlign w:val="center"/>
          </w:tcPr>
          <w:p>
            <w:pPr>
              <w:jc w:val="center"/>
              <w:rPr>
                <w:color w:val="000000"/>
                <w:sz w:val="18"/>
                <w:szCs w:val="18"/>
              </w:rPr>
            </w:pPr>
            <w:r>
              <w:rPr>
                <w:color w:val="000000"/>
                <w:sz w:val="18"/>
                <w:szCs w:val="18"/>
              </w:rPr>
              <w:t>1</w:t>
            </w:r>
          </w:p>
        </w:tc>
        <w:tc>
          <w:tcPr>
            <w:tcW w:w="1681" w:type="dxa"/>
            <w:vMerge w:val="restart"/>
            <w:vAlign w:val="center"/>
          </w:tcPr>
          <w:p>
            <w:pPr>
              <w:jc w:val="center"/>
              <w:rPr>
                <w:color w:val="000000"/>
                <w:sz w:val="18"/>
                <w:szCs w:val="18"/>
              </w:rPr>
            </w:pPr>
            <w:r>
              <w:rPr>
                <w:rFonts w:hint="eastAsia"/>
                <w:color w:val="000000"/>
                <w:sz w:val="18"/>
                <w:szCs w:val="18"/>
              </w:rPr>
              <w:t>老化前机械性能</w:t>
            </w:r>
          </w:p>
        </w:tc>
        <w:tc>
          <w:tcPr>
            <w:tcW w:w="2079" w:type="dxa"/>
            <w:vAlign w:val="center"/>
          </w:tcPr>
          <w:p>
            <w:pPr>
              <w:jc w:val="center"/>
              <w:rPr>
                <w:color w:val="000000"/>
                <w:sz w:val="18"/>
                <w:szCs w:val="18"/>
              </w:rPr>
            </w:pPr>
            <w:r>
              <w:rPr>
                <w:rFonts w:hint="eastAsia"/>
                <w:color w:val="000000"/>
                <w:sz w:val="18"/>
                <w:szCs w:val="18"/>
              </w:rPr>
              <w:t>抗张强度</w:t>
            </w:r>
          </w:p>
        </w:tc>
        <w:tc>
          <w:tcPr>
            <w:tcW w:w="1358" w:type="dxa"/>
            <w:vAlign w:val="center"/>
          </w:tcPr>
          <w:p>
            <w:pPr>
              <w:jc w:val="center"/>
              <w:rPr>
                <w:color w:val="000000"/>
                <w:sz w:val="18"/>
                <w:szCs w:val="18"/>
              </w:rPr>
            </w:pPr>
            <w:r>
              <w:rPr>
                <w:color w:val="000000"/>
                <w:sz w:val="18"/>
                <w:szCs w:val="18"/>
              </w:rPr>
              <w:t>N/mm2</w:t>
            </w:r>
          </w:p>
        </w:tc>
        <w:tc>
          <w:tcPr>
            <w:tcW w:w="1935" w:type="dxa"/>
            <w:vAlign w:val="center"/>
          </w:tcPr>
          <w:p>
            <w:pPr>
              <w:jc w:val="center"/>
              <w:rPr>
                <w:color w:val="000000"/>
                <w:sz w:val="18"/>
                <w:szCs w:val="18"/>
              </w:rPr>
            </w:pPr>
            <w:r>
              <w:rPr>
                <w:color w:val="000000"/>
                <w:sz w:val="18"/>
                <w:szCs w:val="18"/>
              </w:rPr>
              <w:t>≥6.0</w:t>
            </w:r>
          </w:p>
        </w:tc>
        <w:tc>
          <w:tcPr>
            <w:tcW w:w="1920" w:type="dxa"/>
            <w:vAlign w:val="center"/>
          </w:tcPr>
          <w:p>
            <w:pPr>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81" w:type="dxa"/>
            <w:vMerge w:val="continue"/>
            <w:vAlign w:val="center"/>
          </w:tcPr>
          <w:p>
            <w:pPr>
              <w:jc w:val="center"/>
              <w:rPr>
                <w:color w:val="000000"/>
                <w:sz w:val="18"/>
                <w:szCs w:val="18"/>
              </w:rPr>
            </w:pPr>
          </w:p>
        </w:tc>
        <w:tc>
          <w:tcPr>
            <w:tcW w:w="1681" w:type="dxa"/>
            <w:vMerge w:val="continue"/>
            <w:vAlign w:val="center"/>
          </w:tcPr>
          <w:p>
            <w:pPr>
              <w:jc w:val="center"/>
              <w:rPr>
                <w:color w:val="000000"/>
                <w:sz w:val="18"/>
                <w:szCs w:val="18"/>
              </w:rPr>
            </w:pPr>
          </w:p>
        </w:tc>
        <w:tc>
          <w:tcPr>
            <w:tcW w:w="2079" w:type="dxa"/>
            <w:vAlign w:val="center"/>
          </w:tcPr>
          <w:p>
            <w:pPr>
              <w:jc w:val="center"/>
              <w:rPr>
                <w:color w:val="000000"/>
                <w:sz w:val="18"/>
                <w:szCs w:val="18"/>
              </w:rPr>
            </w:pPr>
            <w:r>
              <w:rPr>
                <w:rFonts w:hint="eastAsia"/>
                <w:color w:val="000000"/>
                <w:sz w:val="18"/>
                <w:szCs w:val="18"/>
              </w:rPr>
              <w:t>断裂伸长率</w:t>
            </w:r>
          </w:p>
        </w:tc>
        <w:tc>
          <w:tcPr>
            <w:tcW w:w="1358" w:type="dxa"/>
            <w:vAlign w:val="center"/>
          </w:tcPr>
          <w:p>
            <w:pPr>
              <w:jc w:val="center"/>
              <w:rPr>
                <w:color w:val="000000"/>
                <w:sz w:val="18"/>
                <w:szCs w:val="18"/>
              </w:rPr>
            </w:pPr>
            <w:r>
              <w:rPr>
                <w:color w:val="000000"/>
                <w:sz w:val="18"/>
                <w:szCs w:val="18"/>
              </w:rPr>
              <w:t>%</w:t>
            </w:r>
          </w:p>
        </w:tc>
        <w:tc>
          <w:tcPr>
            <w:tcW w:w="1935" w:type="dxa"/>
            <w:vAlign w:val="center"/>
          </w:tcPr>
          <w:p>
            <w:pPr>
              <w:jc w:val="center"/>
              <w:rPr>
                <w:color w:val="000000"/>
                <w:sz w:val="18"/>
                <w:szCs w:val="18"/>
              </w:rPr>
            </w:pPr>
            <w:r>
              <w:rPr>
                <w:color w:val="000000"/>
                <w:sz w:val="18"/>
                <w:szCs w:val="18"/>
              </w:rPr>
              <w:t>≥400</w:t>
            </w:r>
          </w:p>
        </w:tc>
        <w:tc>
          <w:tcPr>
            <w:tcW w:w="1920" w:type="dxa"/>
            <w:vAlign w:val="center"/>
          </w:tcPr>
          <w:p>
            <w:pPr>
              <w:jc w:val="center"/>
              <w:rPr>
                <w:color w:val="000000"/>
                <w:sz w:val="18"/>
                <w:szCs w:val="18"/>
              </w:rPr>
            </w:pPr>
            <w:r>
              <w:rPr>
                <w:color w:val="000000"/>
                <w:sz w:val="18"/>
                <w:szCs w:val="18"/>
              </w:rPr>
              <w:t>≥250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5" w:hRule="atLeast"/>
        </w:trPr>
        <w:tc>
          <w:tcPr>
            <w:tcW w:w="881" w:type="dxa"/>
            <w:vMerge w:val="continue"/>
            <w:vAlign w:val="center"/>
          </w:tcPr>
          <w:p>
            <w:pPr>
              <w:jc w:val="center"/>
              <w:rPr>
                <w:color w:val="000000"/>
                <w:sz w:val="18"/>
                <w:szCs w:val="18"/>
              </w:rPr>
            </w:pPr>
          </w:p>
        </w:tc>
        <w:tc>
          <w:tcPr>
            <w:tcW w:w="1681" w:type="dxa"/>
            <w:vMerge w:val="continue"/>
            <w:vAlign w:val="center"/>
          </w:tcPr>
          <w:p>
            <w:pPr>
              <w:jc w:val="center"/>
              <w:rPr>
                <w:color w:val="000000"/>
                <w:sz w:val="18"/>
                <w:szCs w:val="18"/>
              </w:rPr>
            </w:pPr>
          </w:p>
        </w:tc>
        <w:tc>
          <w:tcPr>
            <w:tcW w:w="2079" w:type="dxa"/>
            <w:vAlign w:val="center"/>
          </w:tcPr>
          <w:p>
            <w:pPr>
              <w:jc w:val="center"/>
              <w:rPr>
                <w:color w:val="000000"/>
                <w:sz w:val="18"/>
                <w:szCs w:val="18"/>
              </w:rPr>
            </w:pPr>
            <w:r>
              <w:rPr>
                <w:rFonts w:hint="eastAsia"/>
                <w:color w:val="000000"/>
                <w:sz w:val="18"/>
                <w:szCs w:val="18"/>
              </w:rPr>
              <w:t>硬度</w:t>
            </w:r>
          </w:p>
        </w:tc>
        <w:tc>
          <w:tcPr>
            <w:tcW w:w="1358" w:type="dxa"/>
            <w:vAlign w:val="center"/>
          </w:tcPr>
          <w:p>
            <w:pPr>
              <w:jc w:val="center"/>
              <w:rPr>
                <w:color w:val="000000"/>
                <w:sz w:val="18"/>
                <w:szCs w:val="18"/>
              </w:rPr>
            </w:pPr>
            <w:r>
              <w:rPr>
                <w:rFonts w:hint="eastAsia"/>
                <w:color w:val="000000"/>
                <w:sz w:val="18"/>
                <w:szCs w:val="18"/>
              </w:rPr>
              <w:t>邵氏</w:t>
            </w:r>
            <w:r>
              <w:rPr>
                <w:color w:val="000000"/>
                <w:sz w:val="18"/>
                <w:szCs w:val="18"/>
              </w:rPr>
              <w:t>A</w:t>
            </w:r>
          </w:p>
        </w:tc>
        <w:tc>
          <w:tcPr>
            <w:tcW w:w="1935" w:type="dxa"/>
            <w:vAlign w:val="center"/>
          </w:tcPr>
          <w:p>
            <w:pPr>
              <w:jc w:val="center"/>
              <w:rPr>
                <w:color w:val="000000"/>
                <w:sz w:val="18"/>
                <w:szCs w:val="18"/>
              </w:rPr>
            </w:pPr>
            <w:r>
              <w:rPr>
                <w:color w:val="000000"/>
                <w:sz w:val="18"/>
                <w:szCs w:val="18"/>
              </w:rPr>
              <w:t>≤65</w:t>
            </w:r>
          </w:p>
        </w:tc>
        <w:tc>
          <w:tcPr>
            <w:tcW w:w="1920" w:type="dxa"/>
            <w:vAlign w:val="center"/>
          </w:tcPr>
          <w:p>
            <w:pPr>
              <w:jc w:val="center"/>
              <w:rPr>
                <w:color w:val="000000"/>
                <w:sz w:val="18"/>
                <w:szCs w:val="18"/>
              </w:rPr>
            </w:pPr>
            <w:r>
              <w:rPr>
                <w:color w:val="000000"/>
                <w:sz w:val="18"/>
                <w:szCs w:val="18"/>
              </w:rPr>
              <w:t>≤75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881" w:type="dxa"/>
            <w:vAlign w:val="center"/>
          </w:tcPr>
          <w:p>
            <w:pPr>
              <w:jc w:val="center"/>
              <w:rPr>
                <w:color w:val="000000"/>
                <w:sz w:val="18"/>
                <w:szCs w:val="18"/>
              </w:rPr>
            </w:pPr>
            <w:r>
              <w:rPr>
                <w:color w:val="000000"/>
                <w:sz w:val="18"/>
                <w:szCs w:val="18"/>
              </w:rPr>
              <w:t>2</w:t>
            </w:r>
          </w:p>
        </w:tc>
        <w:tc>
          <w:tcPr>
            <w:tcW w:w="1681" w:type="dxa"/>
            <w:vAlign w:val="center"/>
          </w:tcPr>
          <w:p>
            <w:pPr>
              <w:jc w:val="center"/>
              <w:rPr>
                <w:color w:val="000000"/>
                <w:sz w:val="18"/>
                <w:szCs w:val="18"/>
              </w:rPr>
            </w:pPr>
            <w:r>
              <w:rPr>
                <w:rFonts w:hint="eastAsia"/>
                <w:color w:val="000000"/>
                <w:sz w:val="18"/>
                <w:szCs w:val="18"/>
              </w:rPr>
              <w:t>空气箱老化后机械性能老化条件</w:t>
            </w:r>
          </w:p>
        </w:tc>
        <w:tc>
          <w:tcPr>
            <w:tcW w:w="2079" w:type="dxa"/>
            <w:vAlign w:val="center"/>
          </w:tcPr>
          <w:p>
            <w:pPr>
              <w:jc w:val="center"/>
              <w:rPr>
                <w:color w:val="000000"/>
                <w:sz w:val="18"/>
                <w:szCs w:val="18"/>
              </w:rPr>
            </w:pPr>
            <w:r>
              <w:rPr>
                <w:color w:val="000000"/>
                <w:sz w:val="18"/>
                <w:szCs w:val="18"/>
              </w:rPr>
              <w:t>135</w:t>
            </w:r>
            <w:r>
              <w:rPr>
                <w:rFonts w:hint="eastAsia"/>
                <w:color w:val="000000"/>
                <w:sz w:val="18"/>
                <w:szCs w:val="18"/>
              </w:rPr>
              <w:t>℃</w:t>
            </w:r>
            <w:r>
              <w:rPr>
                <w:color w:val="000000"/>
                <w:sz w:val="18"/>
                <w:szCs w:val="18"/>
              </w:rPr>
              <w:t>±3</w:t>
            </w:r>
            <w:r>
              <w:rPr>
                <w:rFonts w:hint="eastAsia"/>
                <w:color w:val="000000"/>
                <w:sz w:val="18"/>
                <w:szCs w:val="18"/>
              </w:rPr>
              <w:t>℃，</w:t>
            </w:r>
            <w:r>
              <w:rPr>
                <w:color w:val="000000"/>
                <w:sz w:val="18"/>
                <w:szCs w:val="18"/>
              </w:rPr>
              <w:t>7d</w:t>
            </w:r>
          </w:p>
          <w:p>
            <w:pPr>
              <w:jc w:val="center"/>
              <w:rPr>
                <w:color w:val="000000"/>
                <w:sz w:val="18"/>
                <w:szCs w:val="18"/>
              </w:rPr>
            </w:pPr>
            <w:r>
              <w:rPr>
                <w:rFonts w:hint="eastAsia"/>
                <w:color w:val="000000"/>
                <w:sz w:val="18"/>
                <w:szCs w:val="18"/>
              </w:rPr>
              <w:t>抗张强度变化率</w:t>
            </w:r>
          </w:p>
          <w:p>
            <w:pPr>
              <w:pStyle w:val="66"/>
              <w:widowControl w:val="0"/>
              <w:ind w:firstLine="0" w:firstLineChars="0"/>
              <w:jc w:val="center"/>
              <w:rPr>
                <w:rFonts w:ascii="Times New Roman"/>
                <w:color w:val="000000"/>
                <w:kern w:val="2"/>
                <w:sz w:val="18"/>
                <w:szCs w:val="18"/>
              </w:rPr>
            </w:pPr>
            <w:r>
              <w:rPr>
                <w:rFonts w:hint="eastAsia" w:ascii="Times New Roman"/>
                <w:color w:val="000000"/>
                <w:kern w:val="2"/>
                <w:sz w:val="18"/>
                <w:szCs w:val="18"/>
              </w:rPr>
              <w:t>伸长率的变化率</w:t>
            </w:r>
          </w:p>
        </w:tc>
        <w:tc>
          <w:tcPr>
            <w:tcW w:w="1358" w:type="dxa"/>
            <w:vAlign w:val="center"/>
          </w:tcPr>
          <w:p>
            <w:pPr>
              <w:keepNext/>
              <w:keepLines/>
              <w:spacing w:before="312" w:beforeLines="100"/>
              <w:jc w:val="center"/>
              <w:outlineLvl w:val="0"/>
              <w:rPr>
                <w:color w:val="000000"/>
                <w:sz w:val="18"/>
                <w:szCs w:val="18"/>
              </w:rPr>
            </w:pPr>
          </w:p>
          <w:p>
            <w:pPr>
              <w:jc w:val="center"/>
              <w:rPr>
                <w:color w:val="000000"/>
                <w:sz w:val="18"/>
                <w:szCs w:val="18"/>
              </w:rPr>
            </w:pPr>
            <w:r>
              <w:rPr>
                <w:color w:val="000000"/>
                <w:sz w:val="18"/>
                <w:szCs w:val="18"/>
              </w:rPr>
              <w:t>%</w:t>
            </w:r>
          </w:p>
          <w:p>
            <w:pPr>
              <w:pStyle w:val="66"/>
              <w:widowControl w:val="0"/>
              <w:ind w:firstLine="0" w:firstLineChars="0"/>
              <w:jc w:val="center"/>
              <w:rPr>
                <w:rFonts w:ascii="Times New Roman"/>
                <w:color w:val="000000"/>
                <w:kern w:val="2"/>
                <w:sz w:val="18"/>
                <w:szCs w:val="18"/>
              </w:rPr>
            </w:pPr>
            <w:r>
              <w:rPr>
                <w:rFonts w:ascii="Times New Roman"/>
                <w:color w:val="000000"/>
                <w:kern w:val="2"/>
                <w:sz w:val="18"/>
                <w:szCs w:val="18"/>
              </w:rPr>
              <w:t>%</w:t>
            </w:r>
          </w:p>
        </w:tc>
        <w:tc>
          <w:tcPr>
            <w:tcW w:w="1935" w:type="dxa"/>
            <w:vAlign w:val="center"/>
          </w:tcPr>
          <w:p>
            <w:pPr>
              <w:pStyle w:val="66"/>
              <w:keepNext/>
              <w:keepLines/>
              <w:widowControl w:val="0"/>
              <w:spacing w:before="312" w:beforeLines="100"/>
              <w:ind w:firstLine="0" w:firstLineChars="0"/>
              <w:jc w:val="center"/>
              <w:outlineLvl w:val="0"/>
              <w:rPr>
                <w:rFonts w:ascii="Times New Roman"/>
                <w:color w:val="000000"/>
                <w:kern w:val="2"/>
                <w:sz w:val="18"/>
                <w:szCs w:val="18"/>
              </w:rPr>
            </w:pPr>
          </w:p>
          <w:p>
            <w:pPr>
              <w:jc w:val="center"/>
              <w:rPr>
                <w:color w:val="000000"/>
                <w:sz w:val="18"/>
                <w:szCs w:val="18"/>
              </w:rPr>
            </w:pPr>
            <w:r>
              <w:rPr>
                <w:color w:val="000000"/>
                <w:sz w:val="18"/>
                <w:szCs w:val="18"/>
              </w:rPr>
              <w:t>≤±30</w:t>
            </w:r>
          </w:p>
          <w:p>
            <w:pPr>
              <w:pStyle w:val="66"/>
              <w:widowControl w:val="0"/>
              <w:ind w:firstLine="0" w:firstLineChars="0"/>
              <w:jc w:val="center"/>
              <w:rPr>
                <w:rFonts w:ascii="Times New Roman"/>
                <w:color w:val="000000"/>
                <w:kern w:val="2"/>
                <w:sz w:val="18"/>
                <w:szCs w:val="18"/>
              </w:rPr>
            </w:pPr>
            <w:r>
              <w:rPr>
                <w:rFonts w:ascii="Times New Roman"/>
                <w:color w:val="000000"/>
                <w:kern w:val="2"/>
                <w:sz w:val="18"/>
                <w:szCs w:val="18"/>
              </w:rPr>
              <w:t>≤±30</w:t>
            </w:r>
          </w:p>
        </w:tc>
        <w:tc>
          <w:tcPr>
            <w:tcW w:w="1920" w:type="dxa"/>
            <w:vAlign w:val="center"/>
          </w:tcPr>
          <w:p>
            <w:pPr>
              <w:pStyle w:val="66"/>
              <w:keepNext/>
              <w:keepLines/>
              <w:widowControl w:val="0"/>
              <w:spacing w:before="312" w:beforeLines="100"/>
              <w:ind w:firstLine="0" w:firstLineChars="0"/>
              <w:jc w:val="center"/>
              <w:outlineLvl w:val="0"/>
              <w:rPr>
                <w:rFonts w:ascii="Times New Roman"/>
                <w:color w:val="000000"/>
                <w:kern w:val="2"/>
                <w:sz w:val="18"/>
                <w:szCs w:val="18"/>
              </w:rPr>
            </w:pPr>
          </w:p>
          <w:p>
            <w:pPr>
              <w:jc w:val="center"/>
              <w:rPr>
                <w:color w:val="000000"/>
                <w:sz w:val="18"/>
                <w:szCs w:val="18"/>
              </w:rPr>
            </w:pPr>
            <w:r>
              <w:rPr>
                <w:color w:val="000000"/>
                <w:sz w:val="18"/>
                <w:szCs w:val="18"/>
              </w:rPr>
              <w:t>≤±30</w:t>
            </w:r>
          </w:p>
          <w:p>
            <w:pPr>
              <w:pStyle w:val="66"/>
              <w:widowControl w:val="0"/>
              <w:ind w:firstLine="0" w:firstLineChars="0"/>
              <w:jc w:val="center"/>
              <w:rPr>
                <w:rFonts w:ascii="Times New Roman"/>
                <w:color w:val="000000"/>
                <w:kern w:val="2"/>
                <w:sz w:val="18"/>
                <w:szCs w:val="18"/>
              </w:rPr>
            </w:pPr>
            <w:r>
              <w:rPr>
                <w:rFonts w:ascii="Times New Roman"/>
                <w:color w:val="000000"/>
                <w:kern w:val="2"/>
                <w:sz w:val="18"/>
                <w:szCs w:val="18"/>
              </w:rPr>
              <w:t>≤±30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881" w:type="dxa"/>
            <w:vMerge w:val="restart"/>
            <w:vAlign w:val="center"/>
          </w:tcPr>
          <w:p>
            <w:pPr>
              <w:jc w:val="center"/>
              <w:rPr>
                <w:color w:val="000000"/>
                <w:sz w:val="18"/>
                <w:szCs w:val="18"/>
              </w:rPr>
            </w:pPr>
            <w:r>
              <w:rPr>
                <w:color w:val="000000"/>
                <w:sz w:val="18"/>
                <w:szCs w:val="18"/>
              </w:rPr>
              <w:t>3</w:t>
            </w:r>
          </w:p>
        </w:tc>
        <w:tc>
          <w:tcPr>
            <w:tcW w:w="1681" w:type="dxa"/>
            <w:vMerge w:val="restart"/>
            <w:vAlign w:val="center"/>
          </w:tcPr>
          <w:p>
            <w:pPr>
              <w:jc w:val="center"/>
              <w:rPr>
                <w:color w:val="000000"/>
                <w:sz w:val="18"/>
                <w:szCs w:val="18"/>
              </w:rPr>
            </w:pPr>
            <w:r>
              <w:rPr>
                <w:rFonts w:hint="eastAsia"/>
                <w:color w:val="000000"/>
                <w:sz w:val="18"/>
                <w:szCs w:val="18"/>
              </w:rPr>
              <w:t>电气性能（室温下）</w:t>
            </w:r>
          </w:p>
        </w:tc>
        <w:tc>
          <w:tcPr>
            <w:tcW w:w="2079" w:type="dxa"/>
            <w:vAlign w:val="center"/>
          </w:tcPr>
          <w:p>
            <w:pPr>
              <w:jc w:val="center"/>
              <w:rPr>
                <w:color w:val="000000"/>
                <w:sz w:val="18"/>
                <w:szCs w:val="18"/>
              </w:rPr>
            </w:pPr>
            <w:r>
              <w:rPr>
                <w:rFonts w:hint="eastAsia"/>
                <w:color w:val="000000"/>
                <w:sz w:val="18"/>
                <w:szCs w:val="18"/>
              </w:rPr>
              <w:t>体积电阻率（</w:t>
            </w:r>
            <w:r>
              <w:rPr>
                <w:color w:val="000000"/>
                <w:sz w:val="18"/>
                <w:szCs w:val="18"/>
              </w:rPr>
              <w:t>23</w:t>
            </w:r>
            <w:r>
              <w:rPr>
                <w:rFonts w:hint="eastAsia"/>
                <w:color w:val="000000"/>
                <w:sz w:val="18"/>
                <w:szCs w:val="18"/>
              </w:rPr>
              <w:t>℃）</w:t>
            </w:r>
          </w:p>
        </w:tc>
        <w:tc>
          <w:tcPr>
            <w:tcW w:w="1358" w:type="dxa"/>
            <w:vAlign w:val="center"/>
          </w:tcPr>
          <w:p>
            <w:pPr>
              <w:pStyle w:val="66"/>
              <w:widowControl w:val="0"/>
              <w:ind w:firstLine="0" w:firstLineChars="0"/>
              <w:jc w:val="center"/>
              <w:rPr>
                <w:rFonts w:ascii="Times New Roman"/>
                <w:color w:val="000000"/>
                <w:kern w:val="2"/>
                <w:sz w:val="18"/>
                <w:szCs w:val="18"/>
              </w:rPr>
            </w:pPr>
            <w:r>
              <w:rPr>
                <w:rFonts w:ascii="Times New Roman"/>
                <w:color w:val="000000"/>
                <w:kern w:val="2"/>
                <w:sz w:val="18"/>
                <w:szCs w:val="18"/>
              </w:rPr>
              <w:t>Ω·</w:t>
            </w:r>
            <w:r>
              <w:rPr>
                <w:rFonts w:hint="eastAsia" w:ascii="Times New Roman"/>
                <w:color w:val="000000"/>
                <w:kern w:val="2"/>
                <w:sz w:val="18"/>
                <w:szCs w:val="18"/>
              </w:rPr>
              <w:t>cm</w:t>
            </w:r>
          </w:p>
        </w:tc>
        <w:tc>
          <w:tcPr>
            <w:tcW w:w="1935" w:type="dxa"/>
            <w:vAlign w:val="center"/>
          </w:tcPr>
          <w:p>
            <w:pPr>
              <w:jc w:val="center"/>
              <w:rPr>
                <w:color w:val="000000"/>
                <w:sz w:val="18"/>
                <w:szCs w:val="18"/>
              </w:rPr>
            </w:pPr>
            <w:r>
              <w:rPr>
                <w:color w:val="000000"/>
                <w:sz w:val="18"/>
                <w:szCs w:val="18"/>
              </w:rPr>
              <w:t>≥1.0×10</w:t>
            </w:r>
            <w:r>
              <w:rPr>
                <w:rFonts w:ascii="Calibri" w:hAnsi="Calibri"/>
                <w:kern w:val="0"/>
                <w:sz w:val="24"/>
                <w:szCs w:val="20"/>
                <w:vertAlign w:val="superscript"/>
              </w:rPr>
              <w:t>1</w:t>
            </w:r>
            <w:r>
              <w:rPr>
                <w:rFonts w:hint="eastAsia" w:ascii="Calibri" w:hAnsi="Calibri"/>
                <w:kern w:val="0"/>
                <w:sz w:val="24"/>
                <w:szCs w:val="20"/>
                <w:vertAlign w:val="superscript"/>
              </w:rPr>
              <w:t>5</w:t>
            </w:r>
          </w:p>
        </w:tc>
        <w:tc>
          <w:tcPr>
            <w:tcW w:w="1920" w:type="dxa"/>
            <w:vAlign w:val="center"/>
          </w:tcPr>
          <w:p>
            <w:pPr>
              <w:jc w:val="center"/>
              <w:rPr>
                <w:color w:val="000000"/>
                <w:sz w:val="18"/>
                <w:szCs w:val="18"/>
              </w:rPr>
            </w:pPr>
            <w:r>
              <w:rPr>
                <w:color w:val="000000"/>
                <w:sz w:val="18"/>
                <w:szCs w:val="18"/>
              </w:rPr>
              <w:t>≤1.0×10</w:t>
            </w:r>
            <w:r>
              <w:rPr>
                <w:rFonts w:hint="eastAsia" w:ascii="Calibri" w:hAnsi="Calibri"/>
                <w:kern w:val="0"/>
                <w:sz w:val="24"/>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881"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1681"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2079" w:type="dxa"/>
            <w:vAlign w:val="center"/>
          </w:tcPr>
          <w:p>
            <w:pPr>
              <w:jc w:val="center"/>
              <w:rPr>
                <w:color w:val="000000"/>
                <w:sz w:val="18"/>
                <w:szCs w:val="18"/>
              </w:rPr>
            </w:pPr>
            <w:r>
              <w:rPr>
                <w:color w:val="000000"/>
                <w:sz w:val="18"/>
                <w:szCs w:val="18"/>
              </w:rPr>
              <w:t>tg</w:t>
            </w:r>
            <w:r>
              <w:rPr>
                <w:rFonts w:hint="eastAsia"/>
                <w:color w:val="000000"/>
                <w:sz w:val="18"/>
                <w:szCs w:val="18"/>
              </w:rPr>
              <w:t>δ</w:t>
            </w:r>
          </w:p>
        </w:tc>
        <w:tc>
          <w:tcPr>
            <w:tcW w:w="1358" w:type="dxa"/>
            <w:vAlign w:val="center"/>
          </w:tcPr>
          <w:p>
            <w:pPr>
              <w:jc w:val="center"/>
              <w:rPr>
                <w:color w:val="000000"/>
                <w:sz w:val="18"/>
                <w:szCs w:val="18"/>
              </w:rPr>
            </w:pPr>
            <w:r>
              <w:rPr>
                <w:color w:val="000000"/>
                <w:sz w:val="18"/>
                <w:szCs w:val="18"/>
              </w:rPr>
              <w:t>—</w:t>
            </w:r>
          </w:p>
        </w:tc>
        <w:tc>
          <w:tcPr>
            <w:tcW w:w="1935" w:type="dxa"/>
            <w:vAlign w:val="center"/>
          </w:tcPr>
          <w:p>
            <w:pPr>
              <w:autoSpaceDE w:val="0"/>
              <w:autoSpaceDN w:val="0"/>
              <w:adjustRightInd w:val="0"/>
              <w:spacing w:line="360" w:lineRule="auto"/>
              <w:ind w:firstLine="360" w:firstLineChars="200"/>
              <w:jc w:val="center"/>
              <w:rPr>
                <w:rFonts w:ascii="Calibri" w:hAnsi="Calibri"/>
                <w:kern w:val="0"/>
                <w:sz w:val="24"/>
                <w:szCs w:val="20"/>
              </w:rPr>
            </w:pPr>
            <w:r>
              <w:rPr>
                <w:color w:val="000000"/>
                <w:sz w:val="18"/>
                <w:szCs w:val="18"/>
              </w:rPr>
              <w:t>≤5.0×10</w:t>
            </w:r>
            <w:r>
              <w:rPr>
                <w:rFonts w:hint="eastAsia" w:ascii="Calibri" w:hAnsi="Calibri"/>
                <w:kern w:val="0"/>
                <w:sz w:val="24"/>
                <w:szCs w:val="20"/>
                <w:vertAlign w:val="superscript"/>
              </w:rPr>
              <w:t>－</w:t>
            </w:r>
            <w:r>
              <w:rPr>
                <w:rFonts w:ascii="Calibri" w:hAnsi="Calibri"/>
                <w:kern w:val="0"/>
                <w:sz w:val="24"/>
                <w:szCs w:val="20"/>
                <w:vertAlign w:val="superscript"/>
              </w:rPr>
              <w:t>3</w:t>
            </w:r>
          </w:p>
        </w:tc>
        <w:tc>
          <w:tcPr>
            <w:tcW w:w="1920" w:type="dxa"/>
            <w:vAlign w:val="center"/>
          </w:tcPr>
          <w:p>
            <w:pPr>
              <w:jc w:val="center"/>
              <w:rPr>
                <w:color w:val="000000"/>
                <w:sz w:val="18"/>
                <w:szCs w:val="18"/>
              </w:rPr>
            </w:pPr>
            <w:r>
              <w:rPr>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881"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1681"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2079" w:type="dxa"/>
            <w:vAlign w:val="center"/>
          </w:tcPr>
          <w:p>
            <w:pPr>
              <w:jc w:val="center"/>
              <w:rPr>
                <w:color w:val="000000"/>
                <w:sz w:val="18"/>
                <w:szCs w:val="18"/>
              </w:rPr>
            </w:pPr>
            <w:r>
              <w:rPr>
                <w:rFonts w:hint="eastAsia"/>
                <w:color w:val="000000"/>
                <w:sz w:val="18"/>
                <w:szCs w:val="18"/>
              </w:rPr>
              <w:t>介电常数</w:t>
            </w:r>
          </w:p>
        </w:tc>
        <w:tc>
          <w:tcPr>
            <w:tcW w:w="1358" w:type="dxa"/>
            <w:vAlign w:val="center"/>
          </w:tcPr>
          <w:p>
            <w:pPr>
              <w:jc w:val="center"/>
              <w:rPr>
                <w:color w:val="000000"/>
                <w:sz w:val="18"/>
                <w:szCs w:val="18"/>
              </w:rPr>
            </w:pPr>
            <w:r>
              <w:rPr>
                <w:color w:val="000000"/>
                <w:sz w:val="18"/>
                <w:szCs w:val="18"/>
              </w:rPr>
              <w:t>—</w:t>
            </w:r>
          </w:p>
        </w:tc>
        <w:tc>
          <w:tcPr>
            <w:tcW w:w="1935" w:type="dxa"/>
            <w:vAlign w:val="center"/>
          </w:tcPr>
          <w:p>
            <w:pPr>
              <w:jc w:val="center"/>
              <w:rPr>
                <w:color w:val="000000"/>
                <w:sz w:val="18"/>
                <w:szCs w:val="18"/>
              </w:rPr>
            </w:pPr>
            <w:r>
              <w:rPr>
                <w:color w:val="000000"/>
                <w:sz w:val="18"/>
                <w:szCs w:val="18"/>
              </w:rPr>
              <w:t>2.5</w:t>
            </w:r>
            <w:r>
              <w:rPr>
                <w:rFonts w:hint="eastAsia"/>
                <w:color w:val="000000"/>
                <w:sz w:val="18"/>
                <w:szCs w:val="18"/>
              </w:rPr>
              <w:t>～</w:t>
            </w:r>
            <w:r>
              <w:rPr>
                <w:color w:val="000000"/>
                <w:sz w:val="18"/>
                <w:szCs w:val="18"/>
              </w:rPr>
              <w:t>3.5</w:t>
            </w:r>
          </w:p>
        </w:tc>
        <w:tc>
          <w:tcPr>
            <w:tcW w:w="1920" w:type="dxa"/>
            <w:vAlign w:val="center"/>
          </w:tcPr>
          <w:p>
            <w:pPr>
              <w:jc w:val="center"/>
              <w:rPr>
                <w:rFonts w:ascii="Calibri" w:hAnsi="Calibri"/>
                <w:kern w:val="0"/>
                <w:sz w:val="24"/>
                <w:szCs w:val="20"/>
              </w:rPr>
            </w:pPr>
            <w:r>
              <w:rPr>
                <w:rFonts w:ascii="Calibri" w:hAnsi="Calibri"/>
                <w:kern w:val="0"/>
                <w:sz w:val="24"/>
                <w:szCs w:val="20"/>
              </w:rPr>
              <w:t>—</w:t>
            </w:r>
          </w:p>
        </w:tc>
      </w:tr>
    </w:tbl>
    <w:p>
      <w:pPr>
        <w:pStyle w:val="96"/>
        <w:spacing w:beforeLines="0" w:afterLines="0" w:line="360" w:lineRule="auto"/>
        <w:ind w:left="113" w:hanging="113" w:hangingChars="54"/>
        <w:jc w:val="center"/>
        <w:outlineLvl w:val="1"/>
        <w:rPr>
          <w:rFonts w:ascii="Times New Roman"/>
          <w:sz w:val="21"/>
          <w:szCs w:val="21"/>
        </w:rPr>
      </w:pPr>
      <w:bookmarkStart w:id="224" w:name="_Toc417246381"/>
      <w:bookmarkStart w:id="225" w:name="_Toc10572"/>
      <w:bookmarkStart w:id="226" w:name="_Toc387856708"/>
      <w:r>
        <w:rPr>
          <w:rFonts w:hint="eastAsia" w:ascii="Times New Roman"/>
          <w:sz w:val="21"/>
          <w:szCs w:val="21"/>
        </w:rPr>
        <w:t>附录</w:t>
      </w:r>
      <w:r>
        <w:rPr>
          <w:rFonts w:ascii="Times New Roman"/>
          <w:sz w:val="21"/>
          <w:szCs w:val="21"/>
        </w:rPr>
        <w:t>E</w:t>
      </w:r>
      <w:r>
        <w:rPr>
          <w:rFonts w:hint="eastAsia" w:ascii="Times New Roman"/>
          <w:sz w:val="21"/>
          <w:szCs w:val="21"/>
        </w:rPr>
        <w:t>：硅橡胶绝缘料性能</w:t>
      </w:r>
      <w:bookmarkEnd w:id="224"/>
      <w:bookmarkEnd w:id="225"/>
      <w:bookmarkEnd w:id="226"/>
    </w:p>
    <w:tbl>
      <w:tblPr>
        <w:tblStyle w:val="38"/>
        <w:tblW w:w="985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66"/>
        <w:gridCol w:w="1405"/>
        <w:gridCol w:w="2615"/>
        <w:gridCol w:w="1206"/>
        <w:gridCol w:w="1888"/>
        <w:gridCol w:w="18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866" w:type="dxa"/>
            <w:vAlign w:val="center"/>
          </w:tcPr>
          <w:p>
            <w:pPr>
              <w:jc w:val="center"/>
              <w:rPr>
                <w:color w:val="000000"/>
                <w:sz w:val="18"/>
                <w:szCs w:val="18"/>
              </w:rPr>
            </w:pPr>
            <w:r>
              <w:rPr>
                <w:rFonts w:hint="eastAsia"/>
                <w:color w:val="000000"/>
                <w:sz w:val="18"/>
                <w:szCs w:val="18"/>
              </w:rPr>
              <w:t>序号</w:t>
            </w:r>
          </w:p>
        </w:tc>
        <w:tc>
          <w:tcPr>
            <w:tcW w:w="4020" w:type="dxa"/>
            <w:gridSpan w:val="2"/>
            <w:vAlign w:val="center"/>
          </w:tcPr>
          <w:p>
            <w:pPr>
              <w:jc w:val="center"/>
              <w:rPr>
                <w:color w:val="000000"/>
                <w:sz w:val="18"/>
                <w:szCs w:val="18"/>
              </w:rPr>
            </w:pPr>
            <w:r>
              <w:rPr>
                <w:rFonts w:hint="eastAsia"/>
                <w:color w:val="000000"/>
                <w:sz w:val="18"/>
                <w:szCs w:val="18"/>
              </w:rPr>
              <w:t>项目</w:t>
            </w:r>
          </w:p>
        </w:tc>
        <w:tc>
          <w:tcPr>
            <w:tcW w:w="1206" w:type="dxa"/>
            <w:vAlign w:val="center"/>
          </w:tcPr>
          <w:p>
            <w:pPr>
              <w:jc w:val="center"/>
              <w:rPr>
                <w:color w:val="000000"/>
                <w:sz w:val="18"/>
                <w:szCs w:val="18"/>
              </w:rPr>
            </w:pPr>
            <w:r>
              <w:rPr>
                <w:rFonts w:hint="eastAsia"/>
                <w:color w:val="000000"/>
                <w:sz w:val="18"/>
                <w:szCs w:val="18"/>
              </w:rPr>
              <w:t>单位</w:t>
            </w:r>
          </w:p>
        </w:tc>
        <w:tc>
          <w:tcPr>
            <w:tcW w:w="1888" w:type="dxa"/>
            <w:vAlign w:val="center"/>
          </w:tcPr>
          <w:p>
            <w:pPr>
              <w:jc w:val="center"/>
              <w:rPr>
                <w:color w:val="000000"/>
                <w:sz w:val="18"/>
                <w:szCs w:val="18"/>
              </w:rPr>
            </w:pPr>
            <w:r>
              <w:rPr>
                <w:rFonts w:hint="eastAsia"/>
                <w:color w:val="000000"/>
                <w:sz w:val="18"/>
                <w:szCs w:val="18"/>
              </w:rPr>
              <w:t>绝缘料</w:t>
            </w:r>
          </w:p>
        </w:tc>
        <w:tc>
          <w:tcPr>
            <w:tcW w:w="1874" w:type="dxa"/>
            <w:vAlign w:val="center"/>
          </w:tcPr>
          <w:p>
            <w:pPr>
              <w:jc w:val="center"/>
              <w:rPr>
                <w:color w:val="000000"/>
                <w:sz w:val="18"/>
                <w:szCs w:val="18"/>
              </w:rPr>
            </w:pPr>
            <w:r>
              <w:rPr>
                <w:rFonts w:hint="eastAsia"/>
                <w:color w:val="000000"/>
                <w:sz w:val="18"/>
                <w:szCs w:val="18"/>
              </w:rPr>
              <w:t>半导电料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trPr>
        <w:tc>
          <w:tcPr>
            <w:tcW w:w="866" w:type="dxa"/>
            <w:vMerge w:val="restart"/>
            <w:vAlign w:val="center"/>
          </w:tcPr>
          <w:p>
            <w:pPr>
              <w:jc w:val="center"/>
              <w:rPr>
                <w:color w:val="000000"/>
                <w:sz w:val="18"/>
                <w:szCs w:val="18"/>
              </w:rPr>
            </w:pPr>
            <w:r>
              <w:rPr>
                <w:color w:val="000000"/>
                <w:sz w:val="18"/>
                <w:szCs w:val="18"/>
              </w:rPr>
              <w:t>1</w:t>
            </w:r>
          </w:p>
        </w:tc>
        <w:tc>
          <w:tcPr>
            <w:tcW w:w="1405" w:type="dxa"/>
            <w:vMerge w:val="restart"/>
            <w:vAlign w:val="center"/>
          </w:tcPr>
          <w:p>
            <w:pPr>
              <w:ind w:firstLine="360" w:firstLineChars="200"/>
              <w:jc w:val="center"/>
              <w:rPr>
                <w:color w:val="000000"/>
                <w:sz w:val="18"/>
                <w:szCs w:val="18"/>
              </w:rPr>
            </w:pPr>
            <w:r>
              <w:rPr>
                <w:rFonts w:hint="eastAsia"/>
                <w:color w:val="000000"/>
                <w:sz w:val="18"/>
                <w:szCs w:val="18"/>
              </w:rPr>
              <w:t>老化前机械性能</w:t>
            </w:r>
          </w:p>
        </w:tc>
        <w:tc>
          <w:tcPr>
            <w:tcW w:w="2615" w:type="dxa"/>
            <w:vAlign w:val="center"/>
          </w:tcPr>
          <w:p>
            <w:pPr>
              <w:ind w:firstLine="360" w:firstLineChars="200"/>
              <w:jc w:val="left"/>
              <w:rPr>
                <w:color w:val="000000"/>
                <w:sz w:val="18"/>
                <w:szCs w:val="18"/>
              </w:rPr>
            </w:pPr>
            <w:r>
              <w:rPr>
                <w:rFonts w:hint="eastAsia"/>
                <w:color w:val="000000"/>
                <w:sz w:val="18"/>
                <w:szCs w:val="18"/>
              </w:rPr>
              <w:t>抗张强度</w:t>
            </w:r>
          </w:p>
        </w:tc>
        <w:tc>
          <w:tcPr>
            <w:tcW w:w="1206" w:type="dxa"/>
            <w:vAlign w:val="center"/>
          </w:tcPr>
          <w:p>
            <w:pPr>
              <w:ind w:firstLine="360" w:firstLineChars="200"/>
              <w:jc w:val="center"/>
              <w:rPr>
                <w:color w:val="000000"/>
                <w:sz w:val="18"/>
                <w:szCs w:val="18"/>
              </w:rPr>
            </w:pPr>
            <w:r>
              <w:rPr>
                <w:color w:val="000000"/>
                <w:sz w:val="18"/>
                <w:szCs w:val="18"/>
              </w:rPr>
              <w:t>N/mm2</w:t>
            </w:r>
          </w:p>
        </w:tc>
        <w:tc>
          <w:tcPr>
            <w:tcW w:w="1888" w:type="dxa"/>
            <w:vAlign w:val="center"/>
          </w:tcPr>
          <w:p>
            <w:pPr>
              <w:ind w:firstLine="360" w:firstLineChars="200"/>
              <w:jc w:val="center"/>
              <w:rPr>
                <w:color w:val="000000"/>
                <w:sz w:val="18"/>
                <w:szCs w:val="18"/>
              </w:rPr>
            </w:pPr>
            <w:r>
              <w:rPr>
                <w:color w:val="000000"/>
                <w:sz w:val="18"/>
                <w:szCs w:val="18"/>
              </w:rPr>
              <w:t>≥5.0</w:t>
            </w:r>
          </w:p>
        </w:tc>
        <w:tc>
          <w:tcPr>
            <w:tcW w:w="1874" w:type="dxa"/>
            <w:vAlign w:val="center"/>
          </w:tcPr>
          <w:p>
            <w:pPr>
              <w:ind w:firstLine="360" w:firstLineChars="200"/>
              <w:jc w:val="center"/>
              <w:rPr>
                <w:color w:val="000000"/>
                <w:sz w:val="18"/>
                <w:szCs w:val="18"/>
              </w:rPr>
            </w:pPr>
            <w:r>
              <w:rPr>
                <w:color w:val="000000"/>
                <w:sz w:val="18"/>
                <w:szCs w:val="18"/>
              </w:rPr>
              <w:t>≥5.5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0" w:hRule="atLeast"/>
        </w:trPr>
        <w:tc>
          <w:tcPr>
            <w:tcW w:w="866"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1405"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2615" w:type="dxa"/>
            <w:vAlign w:val="center"/>
          </w:tcPr>
          <w:p>
            <w:pPr>
              <w:jc w:val="center"/>
              <w:rPr>
                <w:color w:val="000000"/>
                <w:sz w:val="18"/>
                <w:szCs w:val="18"/>
              </w:rPr>
            </w:pPr>
            <w:r>
              <w:rPr>
                <w:rFonts w:hint="eastAsia"/>
                <w:color w:val="000000"/>
                <w:sz w:val="18"/>
                <w:szCs w:val="18"/>
              </w:rPr>
              <w:t>断裂伸长率</w:t>
            </w:r>
          </w:p>
        </w:tc>
        <w:tc>
          <w:tcPr>
            <w:tcW w:w="1206" w:type="dxa"/>
            <w:vAlign w:val="center"/>
          </w:tcPr>
          <w:p>
            <w:pPr>
              <w:pStyle w:val="66"/>
              <w:widowControl w:val="0"/>
              <w:ind w:firstLine="0" w:firstLineChars="0"/>
              <w:jc w:val="center"/>
              <w:rPr>
                <w:rFonts w:ascii="Times New Roman"/>
                <w:color w:val="000000"/>
                <w:kern w:val="2"/>
                <w:sz w:val="18"/>
                <w:szCs w:val="18"/>
              </w:rPr>
            </w:pPr>
            <w:r>
              <w:rPr>
                <w:rFonts w:ascii="Times New Roman"/>
                <w:color w:val="000000"/>
                <w:kern w:val="2"/>
                <w:sz w:val="18"/>
                <w:szCs w:val="18"/>
              </w:rPr>
              <w:t>%</w:t>
            </w:r>
          </w:p>
        </w:tc>
        <w:tc>
          <w:tcPr>
            <w:tcW w:w="1888" w:type="dxa"/>
            <w:vAlign w:val="center"/>
          </w:tcPr>
          <w:p>
            <w:pPr>
              <w:jc w:val="center"/>
              <w:rPr>
                <w:color w:val="000000"/>
                <w:sz w:val="18"/>
                <w:szCs w:val="18"/>
              </w:rPr>
            </w:pPr>
            <w:r>
              <w:rPr>
                <w:color w:val="000000"/>
                <w:sz w:val="18"/>
                <w:szCs w:val="18"/>
              </w:rPr>
              <w:t>≥450</w:t>
            </w:r>
          </w:p>
        </w:tc>
        <w:tc>
          <w:tcPr>
            <w:tcW w:w="1874" w:type="dxa"/>
            <w:vAlign w:val="center"/>
          </w:tcPr>
          <w:p>
            <w:pPr>
              <w:jc w:val="center"/>
              <w:rPr>
                <w:color w:val="000000"/>
                <w:sz w:val="18"/>
                <w:szCs w:val="18"/>
              </w:rPr>
            </w:pPr>
            <w:r>
              <w:rPr>
                <w:color w:val="000000"/>
                <w:sz w:val="18"/>
                <w:szCs w:val="18"/>
              </w:rPr>
              <w:t>≥300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866" w:type="dxa"/>
            <w:vMerge w:val="continue"/>
            <w:vAlign w:val="center"/>
          </w:tcPr>
          <w:p>
            <w:pPr>
              <w:autoSpaceDE w:val="0"/>
              <w:autoSpaceDN w:val="0"/>
              <w:adjustRightInd w:val="0"/>
              <w:spacing w:line="360" w:lineRule="auto"/>
              <w:jc w:val="center"/>
              <w:rPr>
                <w:rFonts w:ascii="Calibri" w:hAnsi="Calibri"/>
                <w:kern w:val="0"/>
                <w:sz w:val="24"/>
                <w:szCs w:val="20"/>
              </w:rPr>
            </w:pPr>
          </w:p>
        </w:tc>
        <w:tc>
          <w:tcPr>
            <w:tcW w:w="1405" w:type="dxa"/>
            <w:vMerge w:val="continue"/>
            <w:vAlign w:val="center"/>
          </w:tcPr>
          <w:p>
            <w:pPr>
              <w:autoSpaceDE w:val="0"/>
              <w:autoSpaceDN w:val="0"/>
              <w:adjustRightInd w:val="0"/>
              <w:spacing w:line="360" w:lineRule="auto"/>
              <w:jc w:val="center"/>
              <w:rPr>
                <w:rFonts w:ascii="Calibri" w:hAnsi="Calibri"/>
                <w:kern w:val="0"/>
                <w:sz w:val="24"/>
                <w:szCs w:val="20"/>
              </w:rPr>
            </w:pPr>
          </w:p>
        </w:tc>
        <w:tc>
          <w:tcPr>
            <w:tcW w:w="2615" w:type="dxa"/>
            <w:vAlign w:val="center"/>
          </w:tcPr>
          <w:p>
            <w:pPr>
              <w:jc w:val="center"/>
              <w:rPr>
                <w:color w:val="000000"/>
                <w:sz w:val="18"/>
                <w:szCs w:val="18"/>
              </w:rPr>
            </w:pPr>
            <w:r>
              <w:rPr>
                <w:rFonts w:hint="eastAsia"/>
                <w:color w:val="000000"/>
                <w:sz w:val="18"/>
                <w:szCs w:val="18"/>
              </w:rPr>
              <w:t>硬度</w:t>
            </w:r>
          </w:p>
        </w:tc>
        <w:tc>
          <w:tcPr>
            <w:tcW w:w="1206" w:type="dxa"/>
            <w:vAlign w:val="center"/>
          </w:tcPr>
          <w:p>
            <w:pPr>
              <w:jc w:val="center"/>
              <w:rPr>
                <w:color w:val="000000"/>
                <w:sz w:val="18"/>
                <w:szCs w:val="18"/>
              </w:rPr>
            </w:pPr>
            <w:r>
              <w:rPr>
                <w:rFonts w:hint="eastAsia"/>
                <w:color w:val="000000"/>
                <w:sz w:val="18"/>
                <w:szCs w:val="18"/>
              </w:rPr>
              <w:t>邵氏</w:t>
            </w:r>
            <w:r>
              <w:rPr>
                <w:color w:val="000000"/>
                <w:sz w:val="18"/>
                <w:szCs w:val="18"/>
              </w:rPr>
              <w:t>A</w:t>
            </w:r>
          </w:p>
        </w:tc>
        <w:tc>
          <w:tcPr>
            <w:tcW w:w="1888" w:type="dxa"/>
            <w:vAlign w:val="center"/>
          </w:tcPr>
          <w:p>
            <w:pPr>
              <w:jc w:val="center"/>
              <w:rPr>
                <w:rFonts w:hint="default" w:eastAsia="宋体"/>
                <w:color w:val="000000"/>
                <w:sz w:val="18"/>
                <w:szCs w:val="18"/>
                <w:lang w:val="en-US" w:eastAsia="zh-CN"/>
              </w:rPr>
            </w:pPr>
            <w:r>
              <w:rPr>
                <w:color w:val="000000"/>
                <w:sz w:val="18"/>
                <w:szCs w:val="18"/>
              </w:rPr>
              <w:t>≤</w:t>
            </w:r>
            <w:r>
              <w:rPr>
                <w:rFonts w:hint="eastAsia"/>
                <w:color w:val="000000"/>
                <w:sz w:val="18"/>
                <w:szCs w:val="18"/>
                <w:lang w:val="en-US" w:eastAsia="zh-CN"/>
              </w:rPr>
              <w:t>40</w:t>
            </w:r>
          </w:p>
        </w:tc>
        <w:tc>
          <w:tcPr>
            <w:tcW w:w="1874" w:type="dxa"/>
            <w:vAlign w:val="center"/>
          </w:tcPr>
          <w:p>
            <w:pPr>
              <w:jc w:val="center"/>
              <w:rPr>
                <w:color w:val="000000"/>
                <w:sz w:val="18"/>
                <w:szCs w:val="18"/>
              </w:rPr>
            </w:pPr>
            <w:r>
              <w:rPr>
                <w:color w:val="000000"/>
                <w:sz w:val="18"/>
                <w:szCs w:val="18"/>
              </w:rPr>
              <w:t>≤55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5" w:hRule="atLeast"/>
        </w:trPr>
        <w:tc>
          <w:tcPr>
            <w:tcW w:w="866" w:type="dxa"/>
            <w:vMerge w:val="restart"/>
            <w:vAlign w:val="center"/>
          </w:tcPr>
          <w:p>
            <w:pPr>
              <w:jc w:val="center"/>
              <w:rPr>
                <w:color w:val="000000"/>
                <w:sz w:val="18"/>
                <w:szCs w:val="18"/>
              </w:rPr>
            </w:pPr>
            <w:r>
              <w:rPr>
                <w:color w:val="000000"/>
                <w:sz w:val="18"/>
                <w:szCs w:val="18"/>
              </w:rPr>
              <w:t>2</w:t>
            </w:r>
          </w:p>
        </w:tc>
        <w:tc>
          <w:tcPr>
            <w:tcW w:w="1405" w:type="dxa"/>
            <w:vMerge w:val="restart"/>
            <w:vAlign w:val="center"/>
          </w:tcPr>
          <w:p>
            <w:pPr>
              <w:jc w:val="center"/>
              <w:rPr>
                <w:color w:val="000000"/>
                <w:sz w:val="18"/>
                <w:szCs w:val="18"/>
              </w:rPr>
            </w:pPr>
            <w:r>
              <w:rPr>
                <w:rFonts w:hint="eastAsia"/>
                <w:color w:val="000000"/>
                <w:sz w:val="18"/>
                <w:szCs w:val="18"/>
              </w:rPr>
              <w:t>空气箱老化后机械性能</w:t>
            </w:r>
          </w:p>
        </w:tc>
        <w:tc>
          <w:tcPr>
            <w:tcW w:w="2615" w:type="dxa"/>
            <w:vAlign w:val="center"/>
          </w:tcPr>
          <w:p>
            <w:pPr>
              <w:jc w:val="center"/>
              <w:rPr>
                <w:color w:val="000000"/>
                <w:sz w:val="18"/>
                <w:szCs w:val="18"/>
              </w:rPr>
            </w:pPr>
            <w:r>
              <w:rPr>
                <w:rFonts w:hint="eastAsia"/>
                <w:color w:val="000000"/>
                <w:sz w:val="18"/>
                <w:szCs w:val="18"/>
              </w:rPr>
              <w:t>老化条件：</w:t>
            </w:r>
            <w:r>
              <w:rPr>
                <w:color w:val="000000"/>
                <w:sz w:val="18"/>
                <w:szCs w:val="18"/>
              </w:rPr>
              <w:t>135</w:t>
            </w:r>
            <w:r>
              <w:rPr>
                <w:rFonts w:hint="eastAsia"/>
                <w:color w:val="000000"/>
                <w:sz w:val="18"/>
                <w:szCs w:val="18"/>
              </w:rPr>
              <w:t>℃</w:t>
            </w:r>
            <w:r>
              <w:rPr>
                <w:color w:val="000000"/>
                <w:sz w:val="18"/>
                <w:szCs w:val="18"/>
              </w:rPr>
              <w:t>±3</w:t>
            </w:r>
            <w:r>
              <w:rPr>
                <w:rFonts w:hint="eastAsia"/>
                <w:color w:val="000000"/>
                <w:sz w:val="18"/>
                <w:szCs w:val="18"/>
              </w:rPr>
              <w:t>℃，</w:t>
            </w:r>
            <w:r>
              <w:rPr>
                <w:color w:val="000000"/>
                <w:sz w:val="18"/>
                <w:szCs w:val="18"/>
              </w:rPr>
              <w:t>7d</w:t>
            </w:r>
          </w:p>
        </w:tc>
        <w:tc>
          <w:tcPr>
            <w:tcW w:w="1206" w:type="dxa"/>
            <w:vAlign w:val="center"/>
          </w:tcPr>
          <w:p>
            <w:pPr>
              <w:pStyle w:val="66"/>
              <w:widowControl w:val="0"/>
              <w:ind w:firstLine="0" w:firstLineChars="0"/>
              <w:jc w:val="center"/>
              <w:rPr>
                <w:rFonts w:ascii="Times New Roman"/>
                <w:color w:val="000000"/>
                <w:kern w:val="2"/>
                <w:sz w:val="18"/>
                <w:szCs w:val="18"/>
              </w:rPr>
            </w:pPr>
          </w:p>
        </w:tc>
        <w:tc>
          <w:tcPr>
            <w:tcW w:w="1888" w:type="dxa"/>
            <w:vAlign w:val="center"/>
          </w:tcPr>
          <w:p>
            <w:pPr>
              <w:pStyle w:val="66"/>
              <w:widowControl w:val="0"/>
              <w:ind w:firstLine="0" w:firstLineChars="0"/>
              <w:jc w:val="center"/>
              <w:rPr>
                <w:rFonts w:ascii="Times New Roman"/>
                <w:color w:val="000000"/>
                <w:kern w:val="2"/>
                <w:sz w:val="18"/>
                <w:szCs w:val="18"/>
              </w:rPr>
            </w:pPr>
          </w:p>
        </w:tc>
        <w:tc>
          <w:tcPr>
            <w:tcW w:w="1874" w:type="dxa"/>
            <w:vAlign w:val="center"/>
          </w:tcPr>
          <w:p>
            <w:pPr>
              <w:pStyle w:val="66"/>
              <w:widowControl w:val="0"/>
              <w:ind w:firstLine="0" w:firstLineChars="0"/>
              <w:jc w:val="center"/>
              <w:rPr>
                <w:rFonts w:ascii="Times New Roman"/>
                <w:color w:val="00000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7" w:hRule="atLeast"/>
        </w:trPr>
        <w:tc>
          <w:tcPr>
            <w:tcW w:w="866" w:type="dxa"/>
            <w:vMerge w:val="continue"/>
            <w:vAlign w:val="center"/>
          </w:tcPr>
          <w:p>
            <w:pPr>
              <w:jc w:val="center"/>
              <w:rPr>
                <w:color w:val="000000"/>
                <w:sz w:val="18"/>
                <w:szCs w:val="18"/>
              </w:rPr>
            </w:pPr>
          </w:p>
        </w:tc>
        <w:tc>
          <w:tcPr>
            <w:tcW w:w="1405" w:type="dxa"/>
            <w:vMerge w:val="continue"/>
            <w:vAlign w:val="center"/>
          </w:tcPr>
          <w:p>
            <w:pPr>
              <w:jc w:val="center"/>
              <w:rPr>
                <w:color w:val="000000"/>
                <w:sz w:val="18"/>
                <w:szCs w:val="18"/>
              </w:rPr>
            </w:pPr>
          </w:p>
        </w:tc>
        <w:tc>
          <w:tcPr>
            <w:tcW w:w="2615" w:type="dxa"/>
            <w:vAlign w:val="center"/>
          </w:tcPr>
          <w:p>
            <w:pPr>
              <w:jc w:val="center"/>
              <w:rPr>
                <w:color w:val="000000"/>
                <w:sz w:val="18"/>
                <w:szCs w:val="18"/>
              </w:rPr>
            </w:pPr>
            <w:r>
              <w:rPr>
                <w:rFonts w:hint="eastAsia"/>
                <w:color w:val="000000"/>
                <w:sz w:val="18"/>
                <w:szCs w:val="18"/>
              </w:rPr>
              <w:t>抗张强度变化率</w:t>
            </w:r>
          </w:p>
        </w:tc>
        <w:tc>
          <w:tcPr>
            <w:tcW w:w="1206" w:type="dxa"/>
            <w:vAlign w:val="center"/>
          </w:tcPr>
          <w:p>
            <w:pPr>
              <w:jc w:val="center"/>
              <w:rPr>
                <w:color w:val="000000"/>
                <w:sz w:val="18"/>
                <w:szCs w:val="18"/>
              </w:rPr>
            </w:pPr>
            <w:r>
              <w:rPr>
                <w:color w:val="000000"/>
                <w:sz w:val="18"/>
                <w:szCs w:val="18"/>
              </w:rPr>
              <w:t>%</w:t>
            </w:r>
          </w:p>
        </w:tc>
        <w:tc>
          <w:tcPr>
            <w:tcW w:w="1888" w:type="dxa"/>
            <w:vAlign w:val="center"/>
          </w:tcPr>
          <w:p>
            <w:pPr>
              <w:jc w:val="center"/>
              <w:rPr>
                <w:color w:val="000000"/>
                <w:sz w:val="18"/>
                <w:szCs w:val="18"/>
              </w:rPr>
            </w:pPr>
            <w:r>
              <w:rPr>
                <w:color w:val="000000"/>
                <w:sz w:val="18"/>
                <w:szCs w:val="18"/>
              </w:rPr>
              <w:t>≤±30</w:t>
            </w:r>
          </w:p>
        </w:tc>
        <w:tc>
          <w:tcPr>
            <w:tcW w:w="1874" w:type="dxa"/>
            <w:vAlign w:val="center"/>
          </w:tcPr>
          <w:p>
            <w:pPr>
              <w:jc w:val="center"/>
              <w:rPr>
                <w:color w:val="000000"/>
                <w:sz w:val="18"/>
                <w:szCs w:val="18"/>
              </w:rPr>
            </w:pPr>
            <w:r>
              <w:rPr>
                <w:color w:val="000000"/>
                <w:sz w:val="18"/>
                <w:szCs w:val="18"/>
              </w:rPr>
              <w:t>≤±30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5" w:hRule="atLeast"/>
        </w:trPr>
        <w:tc>
          <w:tcPr>
            <w:tcW w:w="866" w:type="dxa"/>
            <w:vMerge w:val="restart"/>
            <w:vAlign w:val="center"/>
          </w:tcPr>
          <w:p>
            <w:pPr>
              <w:jc w:val="center"/>
              <w:rPr>
                <w:color w:val="000000"/>
                <w:sz w:val="18"/>
                <w:szCs w:val="18"/>
              </w:rPr>
            </w:pPr>
            <w:r>
              <w:rPr>
                <w:color w:val="000000"/>
                <w:sz w:val="18"/>
                <w:szCs w:val="18"/>
              </w:rPr>
              <w:t>3</w:t>
            </w:r>
          </w:p>
        </w:tc>
        <w:tc>
          <w:tcPr>
            <w:tcW w:w="1405" w:type="dxa"/>
            <w:vMerge w:val="restart"/>
            <w:vAlign w:val="center"/>
          </w:tcPr>
          <w:p>
            <w:pPr>
              <w:jc w:val="center"/>
              <w:rPr>
                <w:color w:val="000000"/>
                <w:sz w:val="18"/>
                <w:szCs w:val="18"/>
              </w:rPr>
            </w:pPr>
            <w:r>
              <w:rPr>
                <w:rFonts w:hint="eastAsia"/>
                <w:color w:val="000000"/>
                <w:sz w:val="18"/>
                <w:szCs w:val="18"/>
              </w:rPr>
              <w:t>电气性能（室温下）</w:t>
            </w:r>
          </w:p>
        </w:tc>
        <w:tc>
          <w:tcPr>
            <w:tcW w:w="2615" w:type="dxa"/>
            <w:vAlign w:val="center"/>
          </w:tcPr>
          <w:p>
            <w:pPr>
              <w:jc w:val="center"/>
              <w:rPr>
                <w:color w:val="000000"/>
                <w:sz w:val="18"/>
                <w:szCs w:val="18"/>
              </w:rPr>
            </w:pPr>
            <w:r>
              <w:rPr>
                <w:rFonts w:hint="eastAsia"/>
                <w:color w:val="000000"/>
                <w:sz w:val="18"/>
                <w:szCs w:val="18"/>
              </w:rPr>
              <w:t>体积电阻率（</w:t>
            </w:r>
            <w:r>
              <w:rPr>
                <w:color w:val="000000"/>
                <w:sz w:val="18"/>
                <w:szCs w:val="18"/>
              </w:rPr>
              <w:t>23</w:t>
            </w:r>
            <w:r>
              <w:rPr>
                <w:rFonts w:hint="eastAsia"/>
                <w:color w:val="000000"/>
                <w:sz w:val="18"/>
                <w:szCs w:val="18"/>
              </w:rPr>
              <w:t>℃）</w:t>
            </w:r>
          </w:p>
        </w:tc>
        <w:tc>
          <w:tcPr>
            <w:tcW w:w="1206" w:type="dxa"/>
            <w:vAlign w:val="center"/>
          </w:tcPr>
          <w:p>
            <w:pPr>
              <w:jc w:val="center"/>
              <w:rPr>
                <w:color w:val="000000"/>
                <w:sz w:val="18"/>
                <w:szCs w:val="18"/>
              </w:rPr>
            </w:pPr>
            <w:r>
              <w:rPr>
                <w:color w:val="000000"/>
                <w:sz w:val="18"/>
                <w:szCs w:val="18"/>
              </w:rPr>
              <w:t>Ω·cm</w:t>
            </w:r>
          </w:p>
        </w:tc>
        <w:tc>
          <w:tcPr>
            <w:tcW w:w="1888" w:type="dxa"/>
            <w:vAlign w:val="center"/>
          </w:tcPr>
          <w:p>
            <w:pPr>
              <w:jc w:val="center"/>
              <w:rPr>
                <w:color w:val="000000"/>
                <w:sz w:val="18"/>
                <w:szCs w:val="18"/>
              </w:rPr>
            </w:pPr>
            <w:r>
              <w:rPr>
                <w:color w:val="000000"/>
                <w:sz w:val="18"/>
                <w:szCs w:val="18"/>
              </w:rPr>
              <w:t>≥1.0×10</w:t>
            </w:r>
            <w:r>
              <w:rPr>
                <w:rFonts w:ascii="Calibri" w:hAnsi="Calibri"/>
                <w:kern w:val="0"/>
                <w:sz w:val="24"/>
                <w:szCs w:val="20"/>
                <w:vertAlign w:val="superscript"/>
              </w:rPr>
              <w:t>1</w:t>
            </w:r>
            <w:r>
              <w:rPr>
                <w:rFonts w:hint="eastAsia" w:ascii="Calibri" w:hAnsi="Calibri"/>
                <w:kern w:val="0"/>
                <w:sz w:val="24"/>
                <w:szCs w:val="20"/>
                <w:vertAlign w:val="superscript"/>
              </w:rPr>
              <w:t>5</w:t>
            </w:r>
          </w:p>
        </w:tc>
        <w:tc>
          <w:tcPr>
            <w:tcW w:w="1874" w:type="dxa"/>
            <w:vAlign w:val="center"/>
          </w:tcPr>
          <w:p>
            <w:pPr>
              <w:jc w:val="center"/>
              <w:rPr>
                <w:color w:val="000000"/>
                <w:sz w:val="18"/>
                <w:szCs w:val="18"/>
              </w:rPr>
            </w:pPr>
            <w:r>
              <w:rPr>
                <w:color w:val="000000"/>
                <w:sz w:val="18"/>
                <w:szCs w:val="18"/>
              </w:rPr>
              <w:t>≤1.0×10</w:t>
            </w:r>
            <w:r>
              <w:rPr>
                <w:rFonts w:hint="eastAsia" w:ascii="Calibri" w:hAnsi="Calibri"/>
                <w:kern w:val="0"/>
                <w:sz w:val="24"/>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0" w:hRule="atLeast"/>
        </w:trPr>
        <w:tc>
          <w:tcPr>
            <w:tcW w:w="866"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1405"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2615" w:type="dxa"/>
            <w:vAlign w:val="center"/>
          </w:tcPr>
          <w:p>
            <w:pPr>
              <w:jc w:val="center"/>
              <w:rPr>
                <w:color w:val="000000"/>
                <w:sz w:val="18"/>
                <w:szCs w:val="18"/>
              </w:rPr>
            </w:pPr>
            <w:r>
              <w:rPr>
                <w:color w:val="000000"/>
                <w:sz w:val="18"/>
                <w:szCs w:val="18"/>
              </w:rPr>
              <w:t>tg</w:t>
            </w:r>
            <w:r>
              <w:rPr>
                <w:rFonts w:hint="eastAsia"/>
                <w:color w:val="000000"/>
                <w:sz w:val="18"/>
                <w:szCs w:val="18"/>
              </w:rPr>
              <w:t>δ</w:t>
            </w:r>
          </w:p>
        </w:tc>
        <w:tc>
          <w:tcPr>
            <w:tcW w:w="1206" w:type="dxa"/>
            <w:vAlign w:val="center"/>
          </w:tcPr>
          <w:p>
            <w:pPr>
              <w:jc w:val="center"/>
              <w:rPr>
                <w:color w:val="000000"/>
                <w:sz w:val="18"/>
                <w:szCs w:val="18"/>
              </w:rPr>
            </w:pPr>
            <w:r>
              <w:rPr>
                <w:color w:val="000000"/>
                <w:sz w:val="18"/>
                <w:szCs w:val="18"/>
              </w:rPr>
              <w:t>—</w:t>
            </w:r>
          </w:p>
        </w:tc>
        <w:tc>
          <w:tcPr>
            <w:tcW w:w="1888" w:type="dxa"/>
            <w:vAlign w:val="center"/>
          </w:tcPr>
          <w:p>
            <w:pPr>
              <w:jc w:val="center"/>
              <w:rPr>
                <w:color w:val="000000"/>
                <w:sz w:val="18"/>
                <w:szCs w:val="18"/>
              </w:rPr>
            </w:pPr>
            <w:r>
              <w:rPr>
                <w:color w:val="000000"/>
                <w:sz w:val="18"/>
                <w:szCs w:val="18"/>
              </w:rPr>
              <w:t>≤4.0×10</w:t>
            </w:r>
            <w:r>
              <w:rPr>
                <w:rFonts w:hint="eastAsia" w:ascii="Calibri" w:hAnsi="Calibri"/>
                <w:kern w:val="0"/>
                <w:sz w:val="24"/>
                <w:szCs w:val="20"/>
                <w:vertAlign w:val="superscript"/>
              </w:rPr>
              <w:t>-3</w:t>
            </w:r>
          </w:p>
        </w:tc>
        <w:tc>
          <w:tcPr>
            <w:tcW w:w="1874" w:type="dxa"/>
            <w:vAlign w:val="center"/>
          </w:tcPr>
          <w:p>
            <w:pPr>
              <w:jc w:val="center"/>
              <w:rPr>
                <w:color w:val="000000"/>
                <w:sz w:val="18"/>
                <w:szCs w:val="18"/>
              </w:rPr>
            </w:pPr>
            <w:r>
              <w:rPr>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866"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1405"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2615" w:type="dxa"/>
            <w:vAlign w:val="center"/>
          </w:tcPr>
          <w:p>
            <w:pPr>
              <w:jc w:val="center"/>
              <w:rPr>
                <w:color w:val="000000"/>
                <w:sz w:val="18"/>
                <w:szCs w:val="18"/>
              </w:rPr>
            </w:pPr>
            <w:r>
              <w:rPr>
                <w:rFonts w:hint="eastAsia"/>
                <w:color w:val="000000"/>
                <w:sz w:val="18"/>
                <w:szCs w:val="18"/>
              </w:rPr>
              <w:t>介电常数</w:t>
            </w:r>
          </w:p>
        </w:tc>
        <w:tc>
          <w:tcPr>
            <w:tcW w:w="1206" w:type="dxa"/>
            <w:vAlign w:val="center"/>
          </w:tcPr>
          <w:p>
            <w:pPr>
              <w:jc w:val="center"/>
              <w:rPr>
                <w:color w:val="000000"/>
                <w:sz w:val="18"/>
                <w:szCs w:val="18"/>
              </w:rPr>
            </w:pPr>
            <w:r>
              <w:rPr>
                <w:color w:val="000000"/>
                <w:sz w:val="18"/>
                <w:szCs w:val="18"/>
              </w:rPr>
              <w:t>—</w:t>
            </w:r>
          </w:p>
        </w:tc>
        <w:tc>
          <w:tcPr>
            <w:tcW w:w="1888" w:type="dxa"/>
            <w:vAlign w:val="center"/>
          </w:tcPr>
          <w:p>
            <w:pPr>
              <w:jc w:val="center"/>
              <w:rPr>
                <w:color w:val="000000"/>
                <w:sz w:val="18"/>
                <w:szCs w:val="18"/>
              </w:rPr>
            </w:pPr>
            <w:r>
              <w:rPr>
                <w:color w:val="000000"/>
                <w:sz w:val="18"/>
                <w:szCs w:val="18"/>
              </w:rPr>
              <w:t>2.8</w:t>
            </w:r>
            <w:r>
              <w:rPr>
                <w:rFonts w:hint="eastAsia"/>
                <w:color w:val="000000"/>
                <w:sz w:val="18"/>
                <w:szCs w:val="18"/>
              </w:rPr>
              <w:t>～</w:t>
            </w:r>
            <w:r>
              <w:rPr>
                <w:color w:val="000000"/>
                <w:sz w:val="18"/>
                <w:szCs w:val="18"/>
              </w:rPr>
              <w:t>3.5</w:t>
            </w:r>
          </w:p>
        </w:tc>
        <w:tc>
          <w:tcPr>
            <w:tcW w:w="1874" w:type="dxa"/>
            <w:vAlign w:val="center"/>
          </w:tcPr>
          <w:p>
            <w:pPr>
              <w:jc w:val="center"/>
              <w:rPr>
                <w:color w:val="000000"/>
                <w:sz w:val="18"/>
                <w:szCs w:val="18"/>
              </w:rPr>
            </w:pPr>
            <w:r>
              <w:rPr>
                <w:color w:val="000000"/>
                <w:sz w:val="18"/>
                <w:szCs w:val="18"/>
              </w:rPr>
              <w:t>—</w:t>
            </w:r>
          </w:p>
        </w:tc>
      </w:tr>
    </w:tbl>
    <w:p>
      <w:pPr>
        <w:pStyle w:val="96"/>
        <w:spacing w:beforeLines="0" w:afterLines="0" w:line="360" w:lineRule="auto"/>
        <w:ind w:left="113" w:hanging="113" w:hangingChars="54"/>
        <w:jc w:val="center"/>
        <w:outlineLvl w:val="1"/>
        <w:rPr>
          <w:rFonts w:ascii="Times New Roman"/>
          <w:sz w:val="21"/>
          <w:szCs w:val="21"/>
        </w:rPr>
      </w:pPr>
      <w:bookmarkStart w:id="227" w:name="_Toc387856709"/>
      <w:bookmarkStart w:id="228" w:name="_Toc417246382"/>
      <w:bookmarkStart w:id="229" w:name="_Toc29497"/>
      <w:r>
        <w:rPr>
          <w:rFonts w:hint="eastAsia" w:ascii="Times New Roman"/>
          <w:sz w:val="21"/>
          <w:szCs w:val="21"/>
        </w:rPr>
        <w:t>附录</w:t>
      </w:r>
      <w:r>
        <w:rPr>
          <w:rFonts w:ascii="Times New Roman"/>
          <w:sz w:val="21"/>
          <w:szCs w:val="21"/>
        </w:rPr>
        <w:t>F</w:t>
      </w:r>
      <w:r>
        <w:rPr>
          <w:rFonts w:hint="eastAsia" w:ascii="Times New Roman"/>
          <w:sz w:val="21"/>
          <w:szCs w:val="21"/>
        </w:rPr>
        <w:t>：绝缘混合剂的性能</w:t>
      </w:r>
      <w:bookmarkEnd w:id="227"/>
      <w:bookmarkEnd w:id="228"/>
      <w:bookmarkEnd w:id="229"/>
    </w:p>
    <w:tbl>
      <w:tblPr>
        <w:tblStyle w:val="38"/>
        <w:tblW w:w="985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6"/>
        <w:gridCol w:w="2006"/>
        <w:gridCol w:w="2006"/>
        <w:gridCol w:w="2464"/>
        <w:gridCol w:w="246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jc w:val="center"/>
        </w:trPr>
        <w:tc>
          <w:tcPr>
            <w:tcW w:w="916" w:type="dxa"/>
            <w:vAlign w:val="center"/>
          </w:tcPr>
          <w:p>
            <w:pPr>
              <w:jc w:val="center"/>
              <w:rPr>
                <w:color w:val="000000"/>
                <w:sz w:val="18"/>
                <w:szCs w:val="18"/>
              </w:rPr>
            </w:pPr>
            <w:r>
              <w:rPr>
                <w:rFonts w:hint="eastAsia"/>
                <w:color w:val="000000"/>
                <w:sz w:val="18"/>
                <w:szCs w:val="18"/>
              </w:rPr>
              <w:t>序号</w:t>
            </w:r>
          </w:p>
        </w:tc>
        <w:tc>
          <w:tcPr>
            <w:tcW w:w="4012" w:type="dxa"/>
            <w:gridSpan w:val="2"/>
            <w:vAlign w:val="center"/>
          </w:tcPr>
          <w:p>
            <w:pPr>
              <w:jc w:val="center"/>
              <w:rPr>
                <w:color w:val="000000"/>
                <w:sz w:val="18"/>
                <w:szCs w:val="18"/>
              </w:rPr>
            </w:pPr>
            <w:r>
              <w:rPr>
                <w:rFonts w:hint="eastAsia"/>
                <w:color w:val="000000"/>
                <w:sz w:val="18"/>
                <w:szCs w:val="18"/>
              </w:rPr>
              <w:t>项目</w:t>
            </w:r>
          </w:p>
        </w:tc>
        <w:tc>
          <w:tcPr>
            <w:tcW w:w="2464" w:type="dxa"/>
            <w:vAlign w:val="center"/>
          </w:tcPr>
          <w:p>
            <w:pPr>
              <w:jc w:val="center"/>
              <w:rPr>
                <w:color w:val="000000"/>
                <w:sz w:val="18"/>
                <w:szCs w:val="18"/>
              </w:rPr>
            </w:pPr>
            <w:r>
              <w:rPr>
                <w:rFonts w:hint="eastAsia"/>
                <w:color w:val="000000"/>
                <w:sz w:val="18"/>
                <w:szCs w:val="18"/>
              </w:rPr>
              <w:t>单位</w:t>
            </w:r>
          </w:p>
        </w:tc>
        <w:tc>
          <w:tcPr>
            <w:tcW w:w="2462" w:type="dxa"/>
            <w:vAlign w:val="center"/>
          </w:tcPr>
          <w:p>
            <w:pPr>
              <w:jc w:val="center"/>
              <w:rPr>
                <w:color w:val="000000"/>
                <w:sz w:val="18"/>
                <w:szCs w:val="18"/>
              </w:rPr>
            </w:pPr>
            <w:r>
              <w:rPr>
                <w:rFonts w:hint="eastAsia"/>
                <w:color w:val="000000"/>
                <w:sz w:val="18"/>
                <w:szCs w:val="18"/>
              </w:rPr>
              <w:t>性能指标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1</w:t>
            </w:r>
          </w:p>
        </w:tc>
        <w:tc>
          <w:tcPr>
            <w:tcW w:w="4012" w:type="dxa"/>
            <w:gridSpan w:val="2"/>
            <w:vAlign w:val="center"/>
          </w:tcPr>
          <w:p>
            <w:pPr>
              <w:ind w:firstLine="360" w:firstLineChars="200"/>
              <w:jc w:val="center"/>
              <w:rPr>
                <w:color w:val="000000"/>
                <w:sz w:val="18"/>
                <w:szCs w:val="18"/>
              </w:rPr>
            </w:pPr>
            <w:r>
              <w:rPr>
                <w:rFonts w:hint="eastAsia"/>
                <w:color w:val="000000"/>
                <w:sz w:val="18"/>
                <w:szCs w:val="18"/>
              </w:rPr>
              <w:t>外观</w:t>
            </w:r>
          </w:p>
        </w:tc>
        <w:tc>
          <w:tcPr>
            <w:tcW w:w="2464" w:type="dxa"/>
            <w:vAlign w:val="center"/>
          </w:tcPr>
          <w:p>
            <w:pPr>
              <w:keepNext/>
              <w:keepLines/>
              <w:spacing w:before="312" w:beforeLines="100"/>
              <w:jc w:val="center"/>
              <w:outlineLvl w:val="0"/>
              <w:rPr>
                <w:color w:val="000000"/>
                <w:sz w:val="18"/>
                <w:szCs w:val="18"/>
              </w:rPr>
            </w:pPr>
          </w:p>
        </w:tc>
        <w:tc>
          <w:tcPr>
            <w:tcW w:w="2462" w:type="dxa"/>
            <w:vAlign w:val="center"/>
          </w:tcPr>
          <w:p>
            <w:pPr>
              <w:ind w:firstLine="360" w:firstLineChars="200"/>
              <w:jc w:val="center"/>
              <w:rPr>
                <w:color w:val="000000"/>
                <w:sz w:val="18"/>
                <w:szCs w:val="18"/>
              </w:rPr>
            </w:pPr>
            <w:r>
              <w:rPr>
                <w:rFonts w:hint="eastAsia"/>
                <w:color w:val="000000"/>
                <w:sz w:val="18"/>
                <w:szCs w:val="18"/>
              </w:rPr>
              <w:t>无杂质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5" w:hRule="atLeast"/>
          <w:jc w:val="center"/>
        </w:trPr>
        <w:tc>
          <w:tcPr>
            <w:tcW w:w="916" w:type="dxa"/>
            <w:vMerge w:val="restart"/>
            <w:vAlign w:val="center"/>
          </w:tcPr>
          <w:p>
            <w:pPr>
              <w:jc w:val="center"/>
              <w:rPr>
                <w:color w:val="000000"/>
                <w:sz w:val="18"/>
                <w:szCs w:val="18"/>
              </w:rPr>
            </w:pPr>
            <w:r>
              <w:rPr>
                <w:color w:val="000000"/>
                <w:sz w:val="18"/>
                <w:szCs w:val="18"/>
              </w:rPr>
              <w:t>2</w:t>
            </w:r>
          </w:p>
        </w:tc>
        <w:tc>
          <w:tcPr>
            <w:tcW w:w="2006" w:type="dxa"/>
            <w:vMerge w:val="restart"/>
            <w:vAlign w:val="center"/>
          </w:tcPr>
          <w:p>
            <w:pPr>
              <w:jc w:val="center"/>
              <w:rPr>
                <w:color w:val="000000"/>
                <w:sz w:val="18"/>
                <w:szCs w:val="18"/>
              </w:rPr>
            </w:pPr>
            <w:r>
              <w:rPr>
                <w:rFonts w:hint="eastAsia"/>
                <w:color w:val="000000"/>
                <w:sz w:val="18"/>
                <w:szCs w:val="18"/>
              </w:rPr>
              <w:t>运动粘度（</w:t>
            </w:r>
            <w:r>
              <w:rPr>
                <w:color w:val="000000"/>
                <w:sz w:val="18"/>
                <w:szCs w:val="18"/>
              </w:rPr>
              <w:t>25</w:t>
            </w:r>
            <w:r>
              <w:rPr>
                <w:rFonts w:hint="eastAsia"/>
                <w:color w:val="000000"/>
                <w:sz w:val="18"/>
                <w:szCs w:val="18"/>
              </w:rPr>
              <w:t>℃）</w:t>
            </w:r>
          </w:p>
        </w:tc>
        <w:tc>
          <w:tcPr>
            <w:tcW w:w="2006" w:type="dxa"/>
            <w:vAlign w:val="center"/>
          </w:tcPr>
          <w:p>
            <w:pPr>
              <w:jc w:val="center"/>
              <w:rPr>
                <w:color w:val="000000"/>
                <w:sz w:val="18"/>
                <w:szCs w:val="18"/>
              </w:rPr>
            </w:pPr>
            <w:r>
              <w:rPr>
                <w:rFonts w:hint="eastAsia"/>
                <w:color w:val="000000"/>
                <w:sz w:val="18"/>
                <w:szCs w:val="18"/>
              </w:rPr>
              <w:t>低粘度硅油</w:t>
            </w:r>
          </w:p>
        </w:tc>
        <w:tc>
          <w:tcPr>
            <w:tcW w:w="2464" w:type="dxa"/>
            <w:vMerge w:val="restart"/>
            <w:vAlign w:val="center"/>
          </w:tcPr>
          <w:p>
            <w:pPr>
              <w:autoSpaceDE w:val="0"/>
              <w:autoSpaceDN w:val="0"/>
              <w:adjustRightInd w:val="0"/>
              <w:spacing w:line="360" w:lineRule="auto"/>
              <w:ind w:firstLine="360" w:firstLineChars="200"/>
              <w:jc w:val="center"/>
              <w:rPr>
                <w:rFonts w:ascii="Calibri" w:hAnsi="Calibri"/>
                <w:kern w:val="0"/>
                <w:sz w:val="24"/>
                <w:szCs w:val="20"/>
              </w:rPr>
            </w:pPr>
            <w:r>
              <w:rPr>
                <w:color w:val="000000"/>
                <w:sz w:val="18"/>
                <w:szCs w:val="18"/>
              </w:rPr>
              <w:t>mm</w:t>
            </w:r>
            <w:r>
              <w:rPr>
                <w:kern w:val="0"/>
                <w:sz w:val="18"/>
                <w:szCs w:val="18"/>
                <w:vertAlign w:val="superscript"/>
              </w:rPr>
              <w:t>2</w:t>
            </w:r>
            <w:r>
              <w:rPr>
                <w:color w:val="000000"/>
                <w:sz w:val="18"/>
                <w:szCs w:val="18"/>
              </w:rPr>
              <w:t>/s</w:t>
            </w:r>
          </w:p>
        </w:tc>
        <w:tc>
          <w:tcPr>
            <w:tcW w:w="2462" w:type="dxa"/>
            <w:vAlign w:val="center"/>
          </w:tcPr>
          <w:p>
            <w:pPr>
              <w:jc w:val="center"/>
              <w:rPr>
                <w:color w:val="000000"/>
                <w:sz w:val="18"/>
                <w:szCs w:val="18"/>
              </w:rPr>
            </w:pPr>
            <w:r>
              <w:rPr>
                <w:color w:val="000000"/>
                <w:sz w:val="18"/>
                <w:szCs w:val="18"/>
              </w:rPr>
              <w:t>40</w:t>
            </w:r>
            <w:r>
              <w:rPr>
                <w:rFonts w:hint="eastAsia"/>
                <w:color w:val="000000"/>
                <w:sz w:val="18"/>
                <w:szCs w:val="18"/>
              </w:rPr>
              <w:t>～</w:t>
            </w:r>
            <w:r>
              <w:rPr>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5" w:hRule="atLeast"/>
          <w:jc w:val="center"/>
        </w:trPr>
        <w:tc>
          <w:tcPr>
            <w:tcW w:w="916" w:type="dxa"/>
            <w:vMerge w:val="continue"/>
            <w:vAlign w:val="center"/>
          </w:tcPr>
          <w:p>
            <w:pPr>
              <w:jc w:val="center"/>
              <w:rPr>
                <w:color w:val="000000"/>
                <w:sz w:val="18"/>
                <w:szCs w:val="18"/>
              </w:rPr>
            </w:pPr>
          </w:p>
        </w:tc>
        <w:tc>
          <w:tcPr>
            <w:tcW w:w="2006" w:type="dxa"/>
            <w:vMerge w:val="continue"/>
            <w:vAlign w:val="center"/>
          </w:tcPr>
          <w:p>
            <w:pPr>
              <w:jc w:val="center"/>
              <w:rPr>
                <w:color w:val="000000"/>
                <w:sz w:val="18"/>
                <w:szCs w:val="18"/>
              </w:rPr>
            </w:pPr>
          </w:p>
        </w:tc>
        <w:tc>
          <w:tcPr>
            <w:tcW w:w="2006" w:type="dxa"/>
            <w:vAlign w:val="center"/>
          </w:tcPr>
          <w:p>
            <w:pPr>
              <w:ind w:firstLine="360" w:firstLineChars="200"/>
              <w:jc w:val="center"/>
              <w:rPr>
                <w:color w:val="000000"/>
                <w:sz w:val="18"/>
                <w:szCs w:val="18"/>
              </w:rPr>
            </w:pPr>
            <w:r>
              <w:rPr>
                <w:rFonts w:hint="eastAsia"/>
                <w:color w:val="000000"/>
                <w:sz w:val="18"/>
                <w:szCs w:val="18"/>
              </w:rPr>
              <w:t>高粘度硅油</w:t>
            </w:r>
          </w:p>
        </w:tc>
        <w:tc>
          <w:tcPr>
            <w:tcW w:w="2464" w:type="dxa"/>
            <w:vMerge w:val="continue"/>
            <w:vAlign w:val="center"/>
          </w:tcPr>
          <w:p>
            <w:pPr>
              <w:keepNext/>
              <w:keepLines/>
              <w:autoSpaceDE w:val="0"/>
              <w:autoSpaceDN w:val="0"/>
              <w:adjustRightInd w:val="0"/>
              <w:spacing w:before="312" w:beforeLines="100" w:line="360" w:lineRule="auto"/>
              <w:jc w:val="center"/>
              <w:outlineLvl w:val="0"/>
              <w:rPr>
                <w:rFonts w:ascii="Calibri" w:hAnsi="Calibri"/>
                <w:kern w:val="0"/>
                <w:sz w:val="24"/>
                <w:szCs w:val="20"/>
              </w:rPr>
            </w:pPr>
          </w:p>
        </w:tc>
        <w:tc>
          <w:tcPr>
            <w:tcW w:w="2462" w:type="dxa"/>
            <w:vAlign w:val="center"/>
          </w:tcPr>
          <w:p>
            <w:pPr>
              <w:jc w:val="center"/>
              <w:rPr>
                <w:color w:val="000000"/>
                <w:sz w:val="18"/>
                <w:szCs w:val="18"/>
              </w:rPr>
            </w:pPr>
            <w:r>
              <w:rPr>
                <w:color w:val="000000"/>
                <w:sz w:val="18"/>
                <w:szCs w:val="18"/>
              </w:rPr>
              <w:t>7000</w:t>
            </w:r>
            <w:r>
              <w:rPr>
                <w:rFonts w:hint="eastAsia"/>
                <w:color w:val="000000"/>
                <w:sz w:val="18"/>
                <w:szCs w:val="18"/>
              </w:rPr>
              <w:t>～</w:t>
            </w:r>
            <w:r>
              <w:rPr>
                <w:color w:val="000000"/>
                <w:sz w:val="18"/>
                <w:szCs w:val="18"/>
              </w:rPr>
              <w:t>13000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3</w:t>
            </w:r>
          </w:p>
        </w:tc>
        <w:tc>
          <w:tcPr>
            <w:tcW w:w="4012" w:type="dxa"/>
            <w:gridSpan w:val="2"/>
            <w:vAlign w:val="center"/>
          </w:tcPr>
          <w:p>
            <w:pPr>
              <w:jc w:val="center"/>
              <w:rPr>
                <w:color w:val="000000"/>
                <w:sz w:val="18"/>
                <w:szCs w:val="18"/>
              </w:rPr>
            </w:pPr>
            <w:r>
              <w:rPr>
                <w:rFonts w:hint="eastAsia"/>
                <w:color w:val="000000"/>
                <w:sz w:val="18"/>
                <w:szCs w:val="18"/>
              </w:rPr>
              <w:t>粘度最大变化率</w:t>
            </w:r>
          </w:p>
        </w:tc>
        <w:tc>
          <w:tcPr>
            <w:tcW w:w="2464" w:type="dxa"/>
            <w:vAlign w:val="center"/>
          </w:tcPr>
          <w:p>
            <w:pPr>
              <w:jc w:val="center"/>
              <w:rPr>
                <w:color w:val="000000"/>
                <w:sz w:val="18"/>
                <w:szCs w:val="18"/>
              </w:rPr>
            </w:pPr>
            <w:r>
              <w:rPr>
                <w:color w:val="000000"/>
                <w:sz w:val="18"/>
                <w:szCs w:val="18"/>
              </w:rPr>
              <w:t>%</w:t>
            </w:r>
          </w:p>
        </w:tc>
        <w:tc>
          <w:tcPr>
            <w:tcW w:w="2462" w:type="dxa"/>
            <w:vAlign w:val="center"/>
          </w:tcPr>
          <w:p>
            <w:pPr>
              <w:jc w:val="center"/>
              <w:rPr>
                <w:color w:val="000000"/>
                <w:sz w:val="18"/>
                <w:szCs w:val="18"/>
              </w:rPr>
            </w:pPr>
            <w:r>
              <w:rPr>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4</w:t>
            </w:r>
          </w:p>
        </w:tc>
        <w:tc>
          <w:tcPr>
            <w:tcW w:w="4012" w:type="dxa"/>
            <w:gridSpan w:val="2"/>
            <w:vAlign w:val="center"/>
          </w:tcPr>
          <w:p>
            <w:pPr>
              <w:jc w:val="center"/>
              <w:rPr>
                <w:color w:val="000000"/>
                <w:sz w:val="18"/>
                <w:szCs w:val="18"/>
              </w:rPr>
            </w:pPr>
            <w:r>
              <w:rPr>
                <w:rFonts w:hint="eastAsia"/>
                <w:color w:val="000000"/>
                <w:sz w:val="18"/>
                <w:szCs w:val="18"/>
              </w:rPr>
              <w:t>闪点</w:t>
            </w:r>
          </w:p>
        </w:tc>
        <w:tc>
          <w:tcPr>
            <w:tcW w:w="2464" w:type="dxa"/>
            <w:vAlign w:val="center"/>
          </w:tcPr>
          <w:p>
            <w:pPr>
              <w:jc w:val="center"/>
              <w:rPr>
                <w:color w:val="000000"/>
                <w:sz w:val="18"/>
                <w:szCs w:val="18"/>
              </w:rPr>
            </w:pPr>
            <w:r>
              <w:rPr>
                <w:rFonts w:hint="eastAsia"/>
                <w:color w:val="000000"/>
                <w:sz w:val="18"/>
                <w:szCs w:val="18"/>
              </w:rPr>
              <w:t>℃</w:t>
            </w:r>
          </w:p>
        </w:tc>
        <w:tc>
          <w:tcPr>
            <w:tcW w:w="2462" w:type="dxa"/>
            <w:vAlign w:val="center"/>
          </w:tcPr>
          <w:p>
            <w:pPr>
              <w:jc w:val="center"/>
              <w:rPr>
                <w:color w:val="000000"/>
                <w:sz w:val="18"/>
                <w:szCs w:val="18"/>
              </w:rPr>
            </w:pPr>
            <w:r>
              <w:rPr>
                <w:color w:val="000000"/>
                <w:sz w:val="18"/>
                <w:szCs w:val="18"/>
              </w:rPr>
              <w:t>&gt;300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5</w:t>
            </w:r>
          </w:p>
        </w:tc>
        <w:tc>
          <w:tcPr>
            <w:tcW w:w="4012" w:type="dxa"/>
            <w:gridSpan w:val="2"/>
            <w:vAlign w:val="center"/>
          </w:tcPr>
          <w:p>
            <w:pPr>
              <w:jc w:val="center"/>
              <w:rPr>
                <w:color w:val="000000"/>
                <w:sz w:val="18"/>
                <w:szCs w:val="18"/>
              </w:rPr>
            </w:pPr>
            <w:r>
              <w:rPr>
                <w:rFonts w:hint="eastAsia"/>
                <w:color w:val="000000"/>
                <w:sz w:val="18"/>
                <w:szCs w:val="18"/>
              </w:rPr>
              <w:t>折光指数（</w:t>
            </w:r>
            <w:r>
              <w:rPr>
                <w:color w:val="000000"/>
                <w:sz w:val="18"/>
                <w:szCs w:val="18"/>
              </w:rPr>
              <w:t>25</w:t>
            </w:r>
            <w:r>
              <w:rPr>
                <w:rFonts w:hint="eastAsia"/>
                <w:color w:val="000000"/>
                <w:sz w:val="18"/>
                <w:szCs w:val="18"/>
              </w:rPr>
              <w:t>℃）</w:t>
            </w:r>
          </w:p>
        </w:tc>
        <w:tc>
          <w:tcPr>
            <w:tcW w:w="2464" w:type="dxa"/>
            <w:vAlign w:val="center"/>
          </w:tcPr>
          <w:p>
            <w:pPr>
              <w:keepNext/>
              <w:keepLines/>
              <w:spacing w:before="312" w:beforeLines="100"/>
              <w:jc w:val="center"/>
              <w:outlineLvl w:val="0"/>
              <w:rPr>
                <w:color w:val="000000"/>
                <w:sz w:val="18"/>
                <w:szCs w:val="18"/>
              </w:rPr>
            </w:pPr>
          </w:p>
        </w:tc>
        <w:tc>
          <w:tcPr>
            <w:tcW w:w="2462" w:type="dxa"/>
            <w:vAlign w:val="center"/>
          </w:tcPr>
          <w:p>
            <w:pPr>
              <w:jc w:val="center"/>
              <w:rPr>
                <w:color w:val="000000"/>
                <w:sz w:val="18"/>
                <w:szCs w:val="18"/>
              </w:rPr>
            </w:pPr>
            <w:r>
              <w:rPr>
                <w:color w:val="000000"/>
                <w:sz w:val="18"/>
                <w:szCs w:val="18"/>
              </w:rPr>
              <w:t>1.42</w:t>
            </w:r>
            <w:r>
              <w:rPr>
                <w:rFonts w:hint="eastAsia"/>
                <w:color w:val="000000"/>
                <w:sz w:val="18"/>
                <w:szCs w:val="18"/>
              </w:rPr>
              <w:t>～</w:t>
            </w:r>
            <w:r>
              <w:rPr>
                <w:color w:val="000000"/>
                <w:sz w:val="18"/>
                <w:szCs w:val="18"/>
              </w:rPr>
              <w:t>1.47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6</w:t>
            </w:r>
          </w:p>
        </w:tc>
        <w:tc>
          <w:tcPr>
            <w:tcW w:w="4012" w:type="dxa"/>
            <w:gridSpan w:val="2"/>
            <w:vAlign w:val="center"/>
          </w:tcPr>
          <w:p>
            <w:pPr>
              <w:jc w:val="center"/>
              <w:rPr>
                <w:color w:val="000000"/>
                <w:sz w:val="18"/>
                <w:szCs w:val="18"/>
              </w:rPr>
            </w:pPr>
            <w:r>
              <w:rPr>
                <w:rFonts w:hint="eastAsia"/>
                <w:color w:val="000000"/>
                <w:sz w:val="18"/>
                <w:szCs w:val="18"/>
              </w:rPr>
              <w:t>击穿电压（电极问距</w:t>
            </w:r>
            <w:r>
              <w:rPr>
                <w:color w:val="000000"/>
                <w:sz w:val="18"/>
                <w:szCs w:val="18"/>
              </w:rPr>
              <w:t>2.5 mm</w:t>
            </w:r>
            <w:r>
              <w:rPr>
                <w:rFonts w:hint="eastAsia"/>
                <w:color w:val="000000"/>
                <w:sz w:val="18"/>
                <w:szCs w:val="18"/>
              </w:rPr>
              <w:t>）</w:t>
            </w:r>
          </w:p>
        </w:tc>
        <w:tc>
          <w:tcPr>
            <w:tcW w:w="2464" w:type="dxa"/>
            <w:vAlign w:val="center"/>
          </w:tcPr>
          <w:p>
            <w:pPr>
              <w:jc w:val="center"/>
              <w:rPr>
                <w:color w:val="000000"/>
                <w:sz w:val="18"/>
                <w:szCs w:val="18"/>
              </w:rPr>
            </w:pPr>
            <w:r>
              <w:rPr>
                <w:color w:val="000000"/>
                <w:sz w:val="18"/>
                <w:szCs w:val="18"/>
              </w:rPr>
              <w:t>kV</w:t>
            </w:r>
          </w:p>
        </w:tc>
        <w:tc>
          <w:tcPr>
            <w:tcW w:w="2462" w:type="dxa"/>
            <w:vAlign w:val="center"/>
          </w:tcPr>
          <w:p>
            <w:pPr>
              <w:jc w:val="center"/>
              <w:rPr>
                <w:color w:val="000000"/>
                <w:sz w:val="18"/>
                <w:szCs w:val="18"/>
              </w:rPr>
            </w:pPr>
            <w:r>
              <w:rPr>
                <w:color w:val="000000"/>
                <w:sz w:val="18"/>
                <w:szCs w:val="18"/>
              </w:rPr>
              <w:t>&gt;35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7</w:t>
            </w:r>
          </w:p>
        </w:tc>
        <w:tc>
          <w:tcPr>
            <w:tcW w:w="4012" w:type="dxa"/>
            <w:gridSpan w:val="2"/>
            <w:vAlign w:val="center"/>
          </w:tcPr>
          <w:p>
            <w:pPr>
              <w:jc w:val="center"/>
              <w:rPr>
                <w:color w:val="000000"/>
                <w:sz w:val="18"/>
                <w:szCs w:val="18"/>
              </w:rPr>
            </w:pPr>
            <w:r>
              <w:rPr>
                <w:rFonts w:hint="eastAsia"/>
                <w:color w:val="000000"/>
                <w:sz w:val="18"/>
                <w:szCs w:val="18"/>
              </w:rPr>
              <w:t>体积电阻率（</w:t>
            </w:r>
            <w:r>
              <w:rPr>
                <w:color w:val="000000"/>
                <w:sz w:val="18"/>
                <w:szCs w:val="18"/>
              </w:rPr>
              <w:t>25</w:t>
            </w:r>
            <w:r>
              <w:rPr>
                <w:rFonts w:hint="eastAsia"/>
                <w:color w:val="000000"/>
                <w:sz w:val="18"/>
                <w:szCs w:val="18"/>
              </w:rPr>
              <w:t>℃）</w:t>
            </w:r>
          </w:p>
        </w:tc>
        <w:tc>
          <w:tcPr>
            <w:tcW w:w="2464" w:type="dxa"/>
            <w:vAlign w:val="center"/>
          </w:tcPr>
          <w:p>
            <w:pPr>
              <w:jc w:val="center"/>
              <w:rPr>
                <w:color w:val="000000"/>
                <w:sz w:val="18"/>
                <w:szCs w:val="18"/>
              </w:rPr>
            </w:pPr>
            <w:r>
              <w:rPr>
                <w:color w:val="000000"/>
                <w:sz w:val="18"/>
                <w:szCs w:val="18"/>
              </w:rPr>
              <w:t>Ω·m</w:t>
            </w:r>
          </w:p>
        </w:tc>
        <w:tc>
          <w:tcPr>
            <w:tcW w:w="2462" w:type="dxa"/>
            <w:vAlign w:val="center"/>
          </w:tcPr>
          <w:p>
            <w:pPr>
              <w:autoSpaceDE w:val="0"/>
              <w:autoSpaceDN w:val="0"/>
              <w:adjustRightInd w:val="0"/>
              <w:spacing w:line="360" w:lineRule="auto"/>
              <w:ind w:firstLine="360" w:firstLineChars="200"/>
              <w:jc w:val="center"/>
              <w:rPr>
                <w:rFonts w:ascii="Calibri" w:hAnsi="Calibri"/>
                <w:kern w:val="0"/>
                <w:sz w:val="24"/>
                <w:szCs w:val="20"/>
              </w:rPr>
            </w:pPr>
            <w:r>
              <w:rPr>
                <w:color w:val="000000"/>
                <w:sz w:val="18"/>
                <w:szCs w:val="18"/>
              </w:rPr>
              <w:t>&gt;8×10</w:t>
            </w:r>
            <w:r>
              <w:rPr>
                <w:rFonts w:ascii="Calibri" w:hAnsi="Calibri"/>
                <w:kern w:val="0"/>
                <w:sz w:val="24"/>
                <w:szCs w:val="20"/>
                <w:vertAlign w:val="superscript"/>
              </w:rPr>
              <w:t>12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8</w:t>
            </w:r>
          </w:p>
        </w:tc>
        <w:tc>
          <w:tcPr>
            <w:tcW w:w="4012" w:type="dxa"/>
            <w:gridSpan w:val="2"/>
            <w:vAlign w:val="center"/>
          </w:tcPr>
          <w:p>
            <w:pPr>
              <w:jc w:val="center"/>
              <w:rPr>
                <w:color w:val="000000"/>
                <w:sz w:val="18"/>
                <w:szCs w:val="18"/>
              </w:rPr>
            </w:pPr>
            <w:r>
              <w:rPr>
                <w:rFonts w:hint="eastAsia"/>
                <w:color w:val="000000"/>
                <w:sz w:val="18"/>
                <w:szCs w:val="18"/>
              </w:rPr>
              <w:t>挥发度（</w:t>
            </w:r>
            <w:r>
              <w:rPr>
                <w:color w:val="000000"/>
                <w:sz w:val="18"/>
                <w:szCs w:val="18"/>
              </w:rPr>
              <w:t>150</w:t>
            </w:r>
            <w:r>
              <w:rPr>
                <w:rFonts w:hint="eastAsia"/>
                <w:color w:val="000000"/>
                <w:sz w:val="18"/>
                <w:szCs w:val="18"/>
              </w:rPr>
              <w:t>℃，</w:t>
            </w:r>
            <w:r>
              <w:rPr>
                <w:color w:val="000000"/>
                <w:sz w:val="18"/>
                <w:szCs w:val="18"/>
              </w:rPr>
              <w:t>3 h</w:t>
            </w:r>
            <w:r>
              <w:rPr>
                <w:rFonts w:hint="eastAsia"/>
                <w:color w:val="000000"/>
                <w:sz w:val="18"/>
                <w:szCs w:val="18"/>
              </w:rPr>
              <w:t>）</w:t>
            </w:r>
          </w:p>
        </w:tc>
        <w:tc>
          <w:tcPr>
            <w:tcW w:w="2464" w:type="dxa"/>
            <w:vAlign w:val="center"/>
          </w:tcPr>
          <w:p>
            <w:pPr>
              <w:jc w:val="center"/>
              <w:rPr>
                <w:color w:val="000000"/>
                <w:sz w:val="18"/>
                <w:szCs w:val="18"/>
              </w:rPr>
            </w:pPr>
            <w:r>
              <w:rPr>
                <w:color w:val="000000"/>
                <w:sz w:val="18"/>
                <w:szCs w:val="18"/>
              </w:rPr>
              <w:t>%</w:t>
            </w:r>
          </w:p>
        </w:tc>
        <w:tc>
          <w:tcPr>
            <w:tcW w:w="2462" w:type="dxa"/>
            <w:vAlign w:val="center"/>
          </w:tcPr>
          <w:p>
            <w:pPr>
              <w:jc w:val="center"/>
              <w:rPr>
                <w:color w:val="000000"/>
                <w:sz w:val="18"/>
                <w:szCs w:val="18"/>
              </w:rPr>
            </w:pPr>
            <w:r>
              <w:rPr>
                <w:color w:val="000000"/>
                <w:sz w:val="18"/>
                <w:szCs w:val="18"/>
              </w:rPr>
              <w:t>&lt;0.5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9</w:t>
            </w:r>
          </w:p>
        </w:tc>
        <w:tc>
          <w:tcPr>
            <w:tcW w:w="4012" w:type="dxa"/>
            <w:gridSpan w:val="2"/>
            <w:vAlign w:val="center"/>
          </w:tcPr>
          <w:p>
            <w:pPr>
              <w:ind w:firstLine="360" w:firstLineChars="200"/>
              <w:jc w:val="center"/>
              <w:rPr>
                <w:color w:val="000000"/>
                <w:sz w:val="18"/>
                <w:szCs w:val="18"/>
              </w:rPr>
            </w:pPr>
            <w:r>
              <w:rPr>
                <w:rFonts w:hint="eastAsia"/>
                <w:color w:val="000000"/>
                <w:sz w:val="18"/>
                <w:szCs w:val="18"/>
              </w:rPr>
              <w:t>介电系数（</w:t>
            </w:r>
            <w:r>
              <w:rPr>
                <w:color w:val="000000"/>
                <w:sz w:val="18"/>
                <w:szCs w:val="18"/>
              </w:rPr>
              <w:t>50Hz）</w:t>
            </w:r>
          </w:p>
        </w:tc>
        <w:tc>
          <w:tcPr>
            <w:tcW w:w="2464" w:type="dxa"/>
            <w:vAlign w:val="center"/>
          </w:tcPr>
          <w:p>
            <w:pPr>
              <w:jc w:val="center"/>
              <w:rPr>
                <w:color w:val="000000"/>
                <w:sz w:val="18"/>
                <w:szCs w:val="18"/>
              </w:rPr>
            </w:pPr>
          </w:p>
        </w:tc>
        <w:tc>
          <w:tcPr>
            <w:tcW w:w="2462" w:type="dxa"/>
            <w:vAlign w:val="center"/>
          </w:tcPr>
          <w:p>
            <w:pPr>
              <w:ind w:firstLine="360" w:firstLineChars="200"/>
              <w:jc w:val="center"/>
              <w:rPr>
                <w:color w:val="000000"/>
                <w:sz w:val="18"/>
                <w:szCs w:val="18"/>
              </w:rPr>
            </w:pPr>
            <w:r>
              <w:rPr>
                <w:color w:val="000000"/>
                <w:sz w:val="18"/>
                <w:szCs w:val="18"/>
              </w:rPr>
              <w:t>2.8～3.2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10</w:t>
            </w:r>
          </w:p>
        </w:tc>
        <w:tc>
          <w:tcPr>
            <w:tcW w:w="4012" w:type="dxa"/>
            <w:gridSpan w:val="2"/>
            <w:vAlign w:val="center"/>
          </w:tcPr>
          <w:p>
            <w:pPr>
              <w:ind w:firstLine="360" w:firstLineChars="200"/>
              <w:jc w:val="center"/>
              <w:rPr>
                <w:color w:val="000000"/>
                <w:sz w:val="18"/>
                <w:szCs w:val="18"/>
              </w:rPr>
            </w:pPr>
            <w:r>
              <w:rPr>
                <w:rFonts w:hint="eastAsia"/>
                <w:color w:val="000000"/>
                <w:sz w:val="18"/>
                <w:szCs w:val="18"/>
              </w:rPr>
              <w:t>介质损耗角正切</w:t>
            </w:r>
          </w:p>
        </w:tc>
        <w:tc>
          <w:tcPr>
            <w:tcW w:w="2464" w:type="dxa"/>
            <w:vAlign w:val="center"/>
          </w:tcPr>
          <w:p>
            <w:pPr>
              <w:ind w:firstLine="360" w:firstLineChars="200"/>
              <w:jc w:val="center"/>
              <w:rPr>
                <w:color w:val="000000"/>
                <w:sz w:val="18"/>
                <w:szCs w:val="18"/>
              </w:rPr>
            </w:pPr>
            <w:r>
              <w:rPr>
                <w:color w:val="000000"/>
                <w:sz w:val="18"/>
                <w:szCs w:val="18"/>
              </w:rPr>
              <w:t>%</w:t>
            </w:r>
          </w:p>
        </w:tc>
        <w:tc>
          <w:tcPr>
            <w:tcW w:w="2462" w:type="dxa"/>
            <w:vAlign w:val="center"/>
          </w:tcPr>
          <w:p>
            <w:pPr>
              <w:ind w:firstLine="360" w:firstLineChars="200"/>
              <w:jc w:val="center"/>
              <w:rPr>
                <w:color w:val="000000"/>
                <w:sz w:val="18"/>
                <w:szCs w:val="18"/>
              </w:rPr>
            </w:pPr>
            <w:r>
              <w:rPr>
                <w:color w:val="000000"/>
                <w:sz w:val="18"/>
                <w:szCs w:val="18"/>
              </w:rPr>
              <w:t>&lt;0.5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6" w:type="dxa"/>
            <w:vAlign w:val="center"/>
          </w:tcPr>
          <w:p>
            <w:pPr>
              <w:jc w:val="center"/>
              <w:rPr>
                <w:color w:val="000000"/>
                <w:sz w:val="18"/>
                <w:szCs w:val="18"/>
              </w:rPr>
            </w:pPr>
            <w:r>
              <w:rPr>
                <w:color w:val="000000"/>
                <w:sz w:val="18"/>
                <w:szCs w:val="18"/>
              </w:rPr>
              <w:t>11</w:t>
            </w:r>
          </w:p>
        </w:tc>
        <w:tc>
          <w:tcPr>
            <w:tcW w:w="4012" w:type="dxa"/>
            <w:gridSpan w:val="2"/>
            <w:vAlign w:val="center"/>
          </w:tcPr>
          <w:p>
            <w:pPr>
              <w:ind w:firstLine="360" w:firstLineChars="200"/>
              <w:jc w:val="center"/>
              <w:rPr>
                <w:color w:val="000000"/>
                <w:sz w:val="18"/>
                <w:szCs w:val="18"/>
              </w:rPr>
            </w:pPr>
            <w:r>
              <w:rPr>
                <w:rFonts w:hint="eastAsia"/>
                <w:color w:val="000000"/>
                <w:sz w:val="18"/>
                <w:szCs w:val="18"/>
              </w:rPr>
              <w:t>锥入度</w:t>
            </w:r>
          </w:p>
        </w:tc>
        <w:tc>
          <w:tcPr>
            <w:tcW w:w="2464" w:type="dxa"/>
            <w:vAlign w:val="center"/>
          </w:tcPr>
          <w:p>
            <w:pPr>
              <w:ind w:firstLine="360" w:firstLineChars="200"/>
              <w:jc w:val="center"/>
              <w:rPr>
                <w:color w:val="000000"/>
                <w:sz w:val="18"/>
                <w:szCs w:val="18"/>
              </w:rPr>
            </w:pPr>
            <w:r>
              <w:rPr>
                <w:color w:val="000000"/>
                <w:sz w:val="18"/>
                <w:szCs w:val="18"/>
              </w:rPr>
              <w:t>1/10mm</w:t>
            </w:r>
          </w:p>
        </w:tc>
        <w:tc>
          <w:tcPr>
            <w:tcW w:w="2462" w:type="dxa"/>
            <w:vAlign w:val="center"/>
          </w:tcPr>
          <w:p>
            <w:pPr>
              <w:ind w:firstLine="360" w:firstLineChars="200"/>
              <w:jc w:val="center"/>
              <w:rPr>
                <w:color w:val="000000"/>
                <w:sz w:val="18"/>
                <w:szCs w:val="18"/>
              </w:rPr>
            </w:pPr>
            <w:r>
              <w:rPr>
                <w:color w:val="000000"/>
                <w:sz w:val="18"/>
                <w:szCs w:val="18"/>
              </w:rPr>
              <w:t>200</w:t>
            </w:r>
            <w:r>
              <w:rPr>
                <w:rFonts w:hint="eastAsia"/>
                <w:color w:val="000000"/>
                <w:sz w:val="18"/>
                <w:szCs w:val="18"/>
              </w:rPr>
              <w:t>～</w:t>
            </w:r>
            <w:r>
              <w:rPr>
                <w:color w:val="000000"/>
                <w:sz w:val="18"/>
                <w:szCs w:val="18"/>
              </w:rPr>
              <w:t>300</w:t>
            </w:r>
          </w:p>
        </w:tc>
      </w:tr>
    </w:tbl>
    <w:p>
      <w:pPr>
        <w:pStyle w:val="96"/>
        <w:spacing w:beforeLines="0" w:afterLines="0" w:line="360" w:lineRule="auto"/>
        <w:ind w:left="113" w:hanging="113" w:hangingChars="54"/>
        <w:jc w:val="center"/>
        <w:outlineLvl w:val="1"/>
        <w:rPr>
          <w:rFonts w:ascii="Times New Roman"/>
          <w:sz w:val="21"/>
          <w:szCs w:val="21"/>
        </w:rPr>
      </w:pPr>
      <w:bookmarkStart w:id="230" w:name="_Toc7158"/>
      <w:r>
        <w:rPr>
          <w:rFonts w:hint="eastAsia" w:ascii="Times New Roman"/>
          <w:sz w:val="21"/>
          <w:szCs w:val="21"/>
        </w:rPr>
        <w:t>附录</w:t>
      </w:r>
      <w:r>
        <w:rPr>
          <w:rFonts w:ascii="Times New Roman"/>
          <w:sz w:val="21"/>
          <w:szCs w:val="21"/>
        </w:rPr>
        <w:t>G</w:t>
      </w:r>
      <w:r>
        <w:rPr>
          <w:rFonts w:hint="eastAsia" w:ascii="Times New Roman"/>
          <w:sz w:val="21"/>
          <w:szCs w:val="21"/>
        </w:rPr>
        <w:t>：</w:t>
      </w:r>
      <w:r>
        <w:rPr>
          <w:rFonts w:ascii="Times New Roman"/>
          <w:sz w:val="21"/>
          <w:szCs w:val="21"/>
        </w:rPr>
        <w:t>电缆附件规格型号</w:t>
      </w:r>
      <w:bookmarkEnd w:id="230"/>
    </w:p>
    <w:tbl>
      <w:tblPr>
        <w:tblStyle w:val="38"/>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Layout w:type="fixed"/>
        <w:tblCellMar>
          <w:top w:w="0" w:type="dxa"/>
          <w:left w:w="108" w:type="dxa"/>
          <w:bottom w:w="0" w:type="dxa"/>
          <w:right w:w="108" w:type="dxa"/>
        </w:tblCellMar>
      </w:tblPr>
      <w:tblGrid>
        <w:gridCol w:w="5396"/>
        <w:gridCol w:w="1817"/>
        <w:gridCol w:w="1179"/>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405" w:hRule="atLeast"/>
          <w:tblHeader/>
          <w:jc w:val="center"/>
        </w:trPr>
        <w:tc>
          <w:tcPr>
            <w:tcW w:w="5396" w:type="dxa"/>
            <w:shd w:val="clear" w:color="auto" w:fill="FFFFFF"/>
            <w:vAlign w:val="center"/>
          </w:tcPr>
          <w:p>
            <w:pPr>
              <w:jc w:val="center"/>
              <w:rPr>
                <w:color w:val="000000"/>
                <w:sz w:val="18"/>
                <w:szCs w:val="18"/>
              </w:rPr>
            </w:pPr>
            <w:r>
              <w:rPr>
                <w:rFonts w:hint="eastAsia"/>
                <w:color w:val="000000"/>
                <w:sz w:val="18"/>
                <w:szCs w:val="18"/>
              </w:rPr>
              <w:t>物资名称</w:t>
            </w:r>
          </w:p>
        </w:tc>
        <w:tc>
          <w:tcPr>
            <w:tcW w:w="1817" w:type="dxa"/>
            <w:shd w:val="clear" w:color="auto" w:fill="FFFFFF"/>
            <w:vAlign w:val="center"/>
          </w:tcPr>
          <w:p>
            <w:pPr>
              <w:jc w:val="center"/>
              <w:rPr>
                <w:color w:val="000000"/>
                <w:sz w:val="18"/>
                <w:szCs w:val="18"/>
              </w:rPr>
            </w:pPr>
            <w:r>
              <w:rPr>
                <w:rFonts w:hint="eastAsia"/>
                <w:color w:val="000000"/>
                <w:sz w:val="18"/>
                <w:szCs w:val="18"/>
              </w:rPr>
              <w:t>规格型号</w:t>
            </w:r>
          </w:p>
        </w:tc>
        <w:tc>
          <w:tcPr>
            <w:tcW w:w="1179" w:type="dxa"/>
            <w:shd w:val="clear" w:color="auto" w:fill="FFFFFF"/>
            <w:vAlign w:val="center"/>
          </w:tcPr>
          <w:p>
            <w:pPr>
              <w:jc w:val="center"/>
              <w:rPr>
                <w:color w:val="000000"/>
                <w:sz w:val="18"/>
                <w:szCs w:val="18"/>
              </w:rPr>
            </w:pPr>
            <w:r>
              <w:rPr>
                <w:rFonts w:hint="eastAsia"/>
                <w:color w:val="000000"/>
                <w:sz w:val="18"/>
                <w:szCs w:val="18"/>
              </w:rPr>
              <w:t>单位</w:t>
            </w:r>
          </w:p>
        </w:tc>
        <w:tc>
          <w:tcPr>
            <w:tcW w:w="1462" w:type="dxa"/>
            <w:shd w:val="clear" w:color="auto" w:fill="FFFFFF"/>
            <w:vAlign w:val="center"/>
          </w:tcPr>
          <w:p>
            <w:pPr>
              <w:jc w:val="center"/>
              <w:rPr>
                <w:color w:val="000000"/>
                <w:sz w:val="18"/>
                <w:szCs w:val="18"/>
              </w:rPr>
            </w:pPr>
            <w:r>
              <w:rPr>
                <w:rFonts w:hint="eastAsia"/>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35（mm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50（mm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70（mm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95</w:t>
            </w:r>
            <w:r>
              <w:rPr>
                <w:rFonts w:hint="eastAsia"/>
                <w:color w:val="000000"/>
                <w:sz w:val="18"/>
                <w:szCs w:val="18"/>
              </w:rPr>
              <w:t>（</w:t>
            </w:r>
            <w:r>
              <w:rPr>
                <w:color w:val="000000"/>
                <w:sz w:val="18"/>
                <w:szCs w:val="18"/>
              </w:rPr>
              <w:t>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120（mm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150（mm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185（mm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240（mm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300（mm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400（mm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500（mm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10kV三芯冷缩型电缆户内终端</w:t>
            </w:r>
          </w:p>
        </w:tc>
        <w:tc>
          <w:tcPr>
            <w:tcW w:w="1817" w:type="dxa"/>
            <w:shd w:val="clear" w:color="auto" w:fill="FFFFFF"/>
            <w:vAlign w:val="center"/>
          </w:tcPr>
          <w:p>
            <w:pPr>
              <w:jc w:val="center"/>
              <w:rPr>
                <w:color w:val="000000"/>
                <w:sz w:val="18"/>
                <w:szCs w:val="18"/>
              </w:rPr>
            </w:pPr>
            <w:r>
              <w:rPr>
                <w:color w:val="000000"/>
                <w:sz w:val="18"/>
                <w:szCs w:val="18"/>
              </w:rPr>
              <w:t>630（mm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35（mm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50（mm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70（mm2）</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95</w:t>
            </w:r>
            <w:r>
              <w:rPr>
                <w:rFonts w:hint="eastAsia"/>
                <w:color w:val="000000"/>
                <w:sz w:val="18"/>
                <w:szCs w:val="18"/>
              </w:rPr>
              <w:t>（</w:t>
            </w:r>
            <w:r>
              <w:rPr>
                <w:color w:val="000000"/>
                <w:sz w:val="18"/>
                <w:szCs w:val="18"/>
              </w:rPr>
              <w:t>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120（mm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150（mm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185（mm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240（mm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300（mm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400（mm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500（mm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10kV三芯冷缩型电缆户外终端</w:t>
            </w:r>
          </w:p>
        </w:tc>
        <w:tc>
          <w:tcPr>
            <w:tcW w:w="1817" w:type="dxa"/>
            <w:shd w:val="clear" w:color="auto" w:fill="FFFFFF"/>
            <w:vAlign w:val="center"/>
          </w:tcPr>
          <w:p>
            <w:pPr>
              <w:jc w:val="center"/>
              <w:rPr>
                <w:color w:val="000000"/>
                <w:sz w:val="18"/>
                <w:szCs w:val="18"/>
              </w:rPr>
            </w:pPr>
            <w:r>
              <w:rPr>
                <w:color w:val="000000"/>
                <w:sz w:val="18"/>
                <w:szCs w:val="18"/>
              </w:rPr>
              <w:t>630（mm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35（mm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50（mm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70（mm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95（mm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120（mm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150（mm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185（mm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240（mm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300（mm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400（mm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500（mm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shd w:val="clear" w:color="auto" w:fill="FFFFFF"/>
          <w:tblCellMar>
            <w:top w:w="0" w:type="dxa"/>
            <w:left w:w="108" w:type="dxa"/>
            <w:bottom w:w="0" w:type="dxa"/>
            <w:right w:w="108" w:type="dxa"/>
          </w:tblCellMar>
        </w:tblPrEx>
        <w:trPr>
          <w:trHeight w:val="315" w:hRule="atLeast"/>
          <w:jc w:val="center"/>
        </w:trPr>
        <w:tc>
          <w:tcPr>
            <w:tcW w:w="5396" w:type="dxa"/>
            <w:shd w:val="clear" w:color="auto" w:fill="FFFFFF"/>
            <w:vAlign w:val="center"/>
          </w:tcPr>
          <w:p>
            <w:pPr>
              <w:jc w:val="center"/>
              <w:rPr>
                <w:color w:val="000000"/>
                <w:sz w:val="18"/>
                <w:szCs w:val="18"/>
              </w:rPr>
            </w:pPr>
            <w:r>
              <w:rPr>
                <w:color w:val="000000"/>
                <w:sz w:val="18"/>
                <w:szCs w:val="18"/>
              </w:rPr>
              <w:t>10kV三芯冷缩型电缆中间头</w:t>
            </w:r>
          </w:p>
        </w:tc>
        <w:tc>
          <w:tcPr>
            <w:tcW w:w="1817" w:type="dxa"/>
            <w:shd w:val="clear" w:color="auto" w:fill="FFFFFF"/>
            <w:vAlign w:val="center"/>
          </w:tcPr>
          <w:p>
            <w:pPr>
              <w:jc w:val="center"/>
              <w:rPr>
                <w:color w:val="000000"/>
                <w:sz w:val="18"/>
                <w:szCs w:val="18"/>
              </w:rPr>
            </w:pPr>
            <w:r>
              <w:rPr>
                <w:color w:val="000000"/>
                <w:sz w:val="18"/>
                <w:szCs w:val="18"/>
              </w:rPr>
              <w:t>630</w:t>
            </w:r>
            <w:r>
              <w:rPr>
                <w:rFonts w:hint="eastAsia"/>
                <w:color w:val="000000"/>
                <w:sz w:val="18"/>
                <w:szCs w:val="18"/>
              </w:rPr>
              <w:t>（</w:t>
            </w:r>
            <w:r>
              <w:rPr>
                <w:color w:val="000000"/>
                <w:sz w:val="18"/>
                <w:szCs w:val="18"/>
              </w:rPr>
              <w:t>mm</w:t>
            </w:r>
            <w:r>
              <w:rPr>
                <w:color w:val="000000"/>
                <w:sz w:val="18"/>
                <w:szCs w:val="18"/>
                <w:vertAlign w:val="superscript"/>
              </w:rPr>
              <w:t>2</w:t>
            </w:r>
            <w:r>
              <w:rPr>
                <w:color w:val="000000"/>
                <w:sz w:val="18"/>
                <w:szCs w:val="18"/>
              </w:rPr>
              <w:t>）</w:t>
            </w:r>
          </w:p>
        </w:tc>
        <w:tc>
          <w:tcPr>
            <w:tcW w:w="1179" w:type="dxa"/>
            <w:shd w:val="clear" w:color="auto" w:fill="FFFFFF"/>
            <w:vAlign w:val="center"/>
          </w:tcPr>
          <w:p>
            <w:pPr>
              <w:jc w:val="center"/>
              <w:rPr>
                <w:color w:val="000000"/>
                <w:sz w:val="18"/>
                <w:szCs w:val="18"/>
              </w:rPr>
            </w:pPr>
            <w:r>
              <w:rPr>
                <w:rFonts w:hint="eastAsia"/>
                <w:color w:val="000000"/>
                <w:sz w:val="18"/>
                <w:szCs w:val="18"/>
              </w:rPr>
              <w:t>套</w:t>
            </w:r>
          </w:p>
        </w:tc>
        <w:tc>
          <w:tcPr>
            <w:tcW w:w="1462" w:type="dxa"/>
            <w:shd w:val="clear" w:color="auto" w:fill="FFFFFF"/>
            <w:vAlign w:val="center"/>
          </w:tcPr>
          <w:p>
            <w:pPr>
              <w:jc w:val="center"/>
              <w:rPr>
                <w:color w:val="000000"/>
                <w:sz w:val="18"/>
                <w:szCs w:val="18"/>
              </w:rPr>
            </w:pPr>
          </w:p>
        </w:tc>
      </w:tr>
    </w:tbl>
    <w:p>
      <w:pPr>
        <w:spacing w:line="360" w:lineRule="auto"/>
        <w:rPr>
          <w:sz w:val="24"/>
          <w:szCs w:val="20"/>
        </w:rPr>
      </w:pPr>
    </w:p>
    <w:p>
      <w:pPr>
        <w:spacing w:line="360" w:lineRule="auto"/>
        <w:rPr>
          <w:sz w:val="24"/>
          <w:szCs w:val="20"/>
        </w:rPr>
        <w:sectPr>
          <w:footerReference r:id="rId15" w:type="default"/>
          <w:pgSz w:w="11906" w:h="16838"/>
          <w:pgMar w:top="1134" w:right="1134" w:bottom="1134" w:left="1134" w:header="624" w:footer="510" w:gutter="0"/>
          <w:cols w:space="720" w:num="1"/>
          <w:docGrid w:type="lines" w:linePitch="312" w:charSpace="0"/>
        </w:sectPr>
      </w:pPr>
    </w:p>
    <w:p>
      <w:pPr>
        <w:keepNext/>
        <w:keepLines/>
        <w:tabs>
          <w:tab w:val="left" w:pos="425"/>
        </w:tabs>
        <w:topLinePunct/>
        <w:spacing w:line="480" w:lineRule="auto"/>
        <w:textAlignment w:val="baseline"/>
        <w:outlineLvl w:val="0"/>
        <w:rPr>
          <w:rFonts w:hint="eastAsia" w:ascii="黑体" w:hAnsi="黑体" w:eastAsia="黑体"/>
          <w:b/>
          <w:kern w:val="44"/>
          <w:szCs w:val="21"/>
        </w:rPr>
      </w:pPr>
      <w:bookmarkStart w:id="231" w:name="_Toc22212742"/>
      <w:bookmarkStart w:id="232" w:name="_Toc10402"/>
      <w:bookmarkStart w:id="233" w:name="_Toc22384357"/>
      <w:r>
        <w:rPr>
          <w:rFonts w:hint="eastAsia" w:ascii="黑体" w:hAnsi="黑体" w:eastAsia="黑体"/>
          <w:b/>
          <w:kern w:val="44"/>
          <w:szCs w:val="21"/>
        </w:rPr>
        <w:t>附录H</w:t>
      </w:r>
      <w:r>
        <w:rPr>
          <w:rFonts w:ascii="黑体" w:hAnsi="黑体" w:eastAsia="黑体"/>
          <w:b/>
          <w:kern w:val="44"/>
          <w:szCs w:val="21"/>
        </w:rPr>
        <w:t>：</w:t>
      </w:r>
      <w:bookmarkEnd w:id="231"/>
      <w:r>
        <w:rPr>
          <w:rFonts w:hint="eastAsia" w:ascii="黑体" w:hAnsi="黑体" w:eastAsia="黑体"/>
          <w:b/>
          <w:kern w:val="44"/>
          <w:szCs w:val="21"/>
        </w:rPr>
        <w:t>10kV冷缩型电缆附件技术规范书审核表单</w:t>
      </w:r>
      <w:bookmarkEnd w:id="232"/>
      <w:bookmarkEnd w:id="233"/>
    </w:p>
    <w:p>
      <w:pPr>
        <w:snapToGrid w:val="0"/>
        <w:spacing w:line="360" w:lineRule="auto"/>
        <w:rPr>
          <w:b/>
          <w:sz w:val="22"/>
          <w:szCs w:val="28"/>
        </w:rPr>
      </w:pPr>
      <w:r>
        <w:rPr>
          <w:b/>
          <w:sz w:val="22"/>
          <w:szCs w:val="28"/>
        </w:rPr>
        <w:t>填写说明：</w:t>
      </w:r>
    </w:p>
    <w:p>
      <w:pPr>
        <w:snapToGrid w:val="0"/>
        <w:spacing w:line="360" w:lineRule="auto"/>
        <w:ind w:firstLine="440" w:firstLineChars="200"/>
        <w:rPr>
          <w:sz w:val="22"/>
          <w:szCs w:val="28"/>
        </w:rPr>
      </w:pPr>
      <w:r>
        <w:rPr>
          <w:sz w:val="22"/>
          <w:szCs w:val="28"/>
        </w:rPr>
        <w:t>审核表单作为通用部分的附表，对未开展型号审查设备在评标时进行证明文件审查。</w:t>
      </w:r>
    </w:p>
    <w:p>
      <w:pPr>
        <w:snapToGrid w:val="0"/>
        <w:spacing w:line="360" w:lineRule="auto"/>
        <w:rPr>
          <w:sz w:val="22"/>
          <w:szCs w:val="28"/>
        </w:rPr>
      </w:pPr>
      <w:r>
        <w:rPr>
          <w:sz w:val="22"/>
          <w:szCs w:val="28"/>
        </w:rPr>
        <w:t>1、投标人响应部分基本填写要求如下：</w:t>
      </w:r>
    </w:p>
    <w:tbl>
      <w:tblPr>
        <w:tblStyle w:val="38"/>
        <w:tblW w:w="139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40"/>
        <w:gridCol w:w="2756"/>
        <w:gridCol w:w="3799"/>
        <w:gridCol w:w="45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vAlign w:val="center"/>
          </w:tcPr>
          <w:p>
            <w:pPr>
              <w:snapToGrid w:val="0"/>
              <w:spacing w:line="360" w:lineRule="auto"/>
              <w:jc w:val="center"/>
              <w:rPr>
                <w:szCs w:val="21"/>
              </w:rPr>
            </w:pPr>
            <w:r>
              <w:rPr>
                <w:szCs w:val="21"/>
              </w:rPr>
              <w:t>投标人响应</w:t>
            </w:r>
          </w:p>
        </w:tc>
        <w:tc>
          <w:tcPr>
            <w:tcW w:w="2756" w:type="dxa"/>
            <w:shd w:val="clear" w:color="auto" w:fill="auto"/>
            <w:vAlign w:val="center"/>
          </w:tcPr>
          <w:p>
            <w:pPr>
              <w:snapToGrid w:val="0"/>
              <w:spacing w:line="360" w:lineRule="auto"/>
              <w:jc w:val="center"/>
              <w:rPr>
                <w:szCs w:val="21"/>
              </w:rPr>
            </w:pPr>
            <w:r>
              <w:rPr>
                <w:szCs w:val="21"/>
              </w:rPr>
              <w:t>投标人响应值</w:t>
            </w:r>
          </w:p>
        </w:tc>
        <w:tc>
          <w:tcPr>
            <w:tcW w:w="3799" w:type="dxa"/>
            <w:shd w:val="clear" w:color="auto" w:fill="auto"/>
            <w:vAlign w:val="center"/>
          </w:tcPr>
          <w:p>
            <w:pPr>
              <w:snapToGrid w:val="0"/>
              <w:spacing w:line="360" w:lineRule="auto"/>
              <w:jc w:val="center"/>
              <w:rPr>
                <w:szCs w:val="21"/>
              </w:rPr>
            </w:pPr>
            <w:r>
              <w:rPr>
                <w:szCs w:val="21"/>
              </w:rPr>
              <w:t>证明材料</w:t>
            </w:r>
          </w:p>
        </w:tc>
        <w:tc>
          <w:tcPr>
            <w:tcW w:w="4553" w:type="dxa"/>
            <w:shd w:val="clear" w:color="auto" w:fill="auto"/>
            <w:vAlign w:val="center"/>
          </w:tcPr>
          <w:p>
            <w:pPr>
              <w:snapToGrid w:val="0"/>
              <w:spacing w:line="360" w:lineRule="auto"/>
              <w:jc w:val="center"/>
              <w:rPr>
                <w:szCs w:val="21"/>
              </w:rPr>
            </w:pPr>
            <w:r>
              <w:rPr>
                <w:szCs w:val="21"/>
              </w:rPr>
              <w:t>投标人偏差说明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vAlign w:val="center"/>
          </w:tcPr>
          <w:p>
            <w:pPr>
              <w:snapToGrid w:val="0"/>
              <w:spacing w:line="360" w:lineRule="auto"/>
              <w:jc w:val="center"/>
              <w:rPr>
                <w:szCs w:val="21"/>
              </w:rPr>
            </w:pPr>
            <w:r>
              <w:rPr>
                <w:szCs w:val="21"/>
              </w:rPr>
              <w:t>“优于要求”</w:t>
            </w:r>
          </w:p>
        </w:tc>
        <w:tc>
          <w:tcPr>
            <w:tcW w:w="2756" w:type="dxa"/>
            <w:vMerge w:val="restart"/>
            <w:shd w:val="clear" w:color="auto" w:fill="auto"/>
            <w:vAlign w:val="center"/>
          </w:tcPr>
          <w:p>
            <w:pPr>
              <w:snapToGrid w:val="0"/>
              <w:spacing w:line="360" w:lineRule="auto"/>
              <w:jc w:val="center"/>
              <w:rPr>
                <w:szCs w:val="21"/>
              </w:rPr>
            </w:pPr>
            <w:r>
              <w:rPr>
                <w:szCs w:val="21"/>
              </w:rPr>
              <w:t>投标设备相应参数值</w:t>
            </w:r>
          </w:p>
        </w:tc>
        <w:tc>
          <w:tcPr>
            <w:tcW w:w="3799" w:type="dxa"/>
            <w:vMerge w:val="restart"/>
            <w:shd w:val="clear" w:color="auto" w:fill="auto"/>
            <w:vAlign w:val="center"/>
          </w:tcPr>
          <w:p>
            <w:pPr>
              <w:snapToGrid w:val="0"/>
              <w:spacing w:line="360" w:lineRule="auto"/>
              <w:jc w:val="center"/>
              <w:rPr>
                <w:szCs w:val="21"/>
              </w:rPr>
            </w:pPr>
            <w:r>
              <w:rPr>
                <w:szCs w:val="21"/>
              </w:rPr>
              <w:t>证明文件名称、编号、相关内容起止页码</w:t>
            </w:r>
          </w:p>
        </w:tc>
        <w:tc>
          <w:tcPr>
            <w:tcW w:w="4553" w:type="dxa"/>
            <w:shd w:val="clear" w:color="auto" w:fill="auto"/>
            <w:vAlign w:val="center"/>
          </w:tcPr>
          <w:p>
            <w:pPr>
              <w:snapToGrid w:val="0"/>
              <w:spacing w:line="360" w:lineRule="auto"/>
              <w:jc w:val="center"/>
              <w:rPr>
                <w:szCs w:val="21"/>
              </w:rPr>
            </w:pPr>
            <w:r>
              <w:rPr>
                <w:szCs w:val="21"/>
              </w:rPr>
              <w:t>投标人偏差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vAlign w:val="center"/>
          </w:tcPr>
          <w:p>
            <w:pPr>
              <w:snapToGrid w:val="0"/>
              <w:spacing w:line="360" w:lineRule="auto"/>
              <w:jc w:val="center"/>
              <w:rPr>
                <w:szCs w:val="21"/>
              </w:rPr>
            </w:pPr>
            <w:r>
              <w:rPr>
                <w:szCs w:val="21"/>
              </w:rPr>
              <w:t>“全部满足要求”</w:t>
            </w:r>
          </w:p>
        </w:tc>
        <w:tc>
          <w:tcPr>
            <w:tcW w:w="2756" w:type="dxa"/>
            <w:vMerge w:val="continue"/>
            <w:shd w:val="clear" w:color="auto" w:fill="auto"/>
            <w:vAlign w:val="center"/>
          </w:tcPr>
          <w:p>
            <w:pPr>
              <w:snapToGrid w:val="0"/>
              <w:spacing w:line="360" w:lineRule="auto"/>
              <w:jc w:val="left"/>
              <w:rPr>
                <w:color w:val="FF0000"/>
                <w:szCs w:val="21"/>
              </w:rPr>
            </w:pPr>
          </w:p>
        </w:tc>
        <w:tc>
          <w:tcPr>
            <w:tcW w:w="3799" w:type="dxa"/>
            <w:vMerge w:val="continue"/>
            <w:shd w:val="clear" w:color="auto" w:fill="auto"/>
            <w:vAlign w:val="center"/>
          </w:tcPr>
          <w:p>
            <w:pPr>
              <w:snapToGrid w:val="0"/>
              <w:spacing w:line="360" w:lineRule="auto"/>
              <w:jc w:val="center"/>
              <w:rPr>
                <w:szCs w:val="21"/>
              </w:rPr>
            </w:pPr>
          </w:p>
        </w:tc>
        <w:tc>
          <w:tcPr>
            <w:tcW w:w="4553" w:type="dxa"/>
            <w:shd w:val="clear" w:color="auto" w:fill="auto"/>
            <w:vAlign w:val="center"/>
          </w:tcPr>
          <w:p>
            <w:pPr>
              <w:snapToGrid w:val="0"/>
              <w:spacing w:line="360" w:lineRule="auto"/>
              <w:jc w:val="center"/>
              <w:rPr>
                <w:szCs w:val="21"/>
              </w:rPr>
            </w:pPr>
            <w:r>
              <w:rPr>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shd w:val="clear" w:color="auto" w:fill="auto"/>
            <w:vAlign w:val="center"/>
          </w:tcPr>
          <w:p>
            <w:pPr>
              <w:snapToGrid w:val="0"/>
              <w:spacing w:line="360" w:lineRule="auto"/>
              <w:jc w:val="center"/>
              <w:rPr>
                <w:szCs w:val="21"/>
              </w:rPr>
            </w:pPr>
            <w:r>
              <w:rPr>
                <w:szCs w:val="21"/>
              </w:rPr>
              <w:t>“不满足要求”</w:t>
            </w:r>
          </w:p>
        </w:tc>
        <w:tc>
          <w:tcPr>
            <w:tcW w:w="2756" w:type="dxa"/>
            <w:vMerge w:val="continue"/>
            <w:shd w:val="clear" w:color="auto" w:fill="auto"/>
            <w:vAlign w:val="center"/>
          </w:tcPr>
          <w:p>
            <w:pPr>
              <w:snapToGrid w:val="0"/>
              <w:spacing w:line="360" w:lineRule="auto"/>
              <w:jc w:val="center"/>
              <w:rPr>
                <w:szCs w:val="21"/>
              </w:rPr>
            </w:pPr>
          </w:p>
        </w:tc>
        <w:tc>
          <w:tcPr>
            <w:tcW w:w="3799" w:type="dxa"/>
            <w:vMerge w:val="continue"/>
            <w:shd w:val="clear" w:color="auto" w:fill="auto"/>
            <w:vAlign w:val="center"/>
          </w:tcPr>
          <w:p>
            <w:pPr>
              <w:snapToGrid w:val="0"/>
              <w:spacing w:line="360" w:lineRule="auto"/>
              <w:jc w:val="center"/>
              <w:rPr>
                <w:szCs w:val="21"/>
              </w:rPr>
            </w:pPr>
          </w:p>
        </w:tc>
        <w:tc>
          <w:tcPr>
            <w:tcW w:w="4553" w:type="dxa"/>
            <w:shd w:val="clear" w:color="auto" w:fill="auto"/>
            <w:vAlign w:val="center"/>
          </w:tcPr>
          <w:p>
            <w:pPr>
              <w:snapToGrid w:val="0"/>
              <w:spacing w:line="360" w:lineRule="auto"/>
              <w:jc w:val="center"/>
              <w:rPr>
                <w:szCs w:val="21"/>
              </w:rPr>
            </w:pPr>
            <w:r>
              <w:rPr>
                <w:szCs w:val="21"/>
              </w:rPr>
              <w:t>投标人偏差及建议</w:t>
            </w:r>
          </w:p>
        </w:tc>
      </w:tr>
    </w:tbl>
    <w:p>
      <w:pPr>
        <w:snapToGrid w:val="0"/>
        <w:spacing w:line="360" w:lineRule="auto"/>
        <w:rPr>
          <w:b/>
          <w:sz w:val="22"/>
          <w:szCs w:val="28"/>
        </w:rPr>
      </w:pPr>
      <w:r>
        <w:rPr>
          <w:b/>
          <w:sz w:val="22"/>
          <w:szCs w:val="28"/>
        </w:rPr>
        <w:t>2、所有投标人提供的响应文件应有唯一编号，编号不少于5位，具体格式不限。</w:t>
      </w:r>
    </w:p>
    <w:p>
      <w:pPr>
        <w:snapToGrid w:val="0"/>
        <w:spacing w:line="360" w:lineRule="auto"/>
        <w:rPr>
          <w:b/>
          <w:sz w:val="22"/>
          <w:szCs w:val="28"/>
        </w:rPr>
      </w:pPr>
      <w:r>
        <w:rPr>
          <w:sz w:val="22"/>
          <w:szCs w:val="28"/>
        </w:rPr>
        <w:t>3、投标人在投标时应提供必要的条款响应支撑文件清单，</w:t>
      </w:r>
      <w:r>
        <w:rPr>
          <w:b/>
          <w:sz w:val="22"/>
          <w:szCs w:val="28"/>
        </w:rPr>
        <w:t>投标时应对下面逐条要求进行响应，并说明响应内容所在的具体文件位置（包括文件名称、文件编号、文件起止页码）。同一条款要求可对应对个支撑文件，单一支撑文件也对不同条款要求进行响应。</w:t>
      </w:r>
    </w:p>
    <w:tbl>
      <w:tblPr>
        <w:tblStyle w:val="38"/>
        <w:tblW w:w="139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36"/>
        <w:gridCol w:w="5738"/>
        <w:gridCol w:w="3487"/>
        <w:gridCol w:w="34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36" w:type="dxa"/>
            <w:shd w:val="clear" w:color="auto" w:fill="auto"/>
            <w:vAlign w:val="center"/>
          </w:tcPr>
          <w:p>
            <w:pPr>
              <w:snapToGrid w:val="0"/>
              <w:spacing w:line="360" w:lineRule="auto"/>
              <w:jc w:val="center"/>
              <w:rPr>
                <w:szCs w:val="21"/>
              </w:rPr>
            </w:pPr>
            <w:r>
              <w:rPr>
                <w:szCs w:val="21"/>
              </w:rPr>
              <w:t>序号</w:t>
            </w:r>
          </w:p>
        </w:tc>
        <w:tc>
          <w:tcPr>
            <w:tcW w:w="5738" w:type="dxa"/>
            <w:shd w:val="clear" w:color="auto" w:fill="auto"/>
            <w:vAlign w:val="center"/>
          </w:tcPr>
          <w:p>
            <w:pPr>
              <w:snapToGrid w:val="0"/>
              <w:spacing w:line="360" w:lineRule="auto"/>
              <w:jc w:val="center"/>
              <w:rPr>
                <w:szCs w:val="21"/>
              </w:rPr>
            </w:pPr>
            <w:r>
              <w:rPr>
                <w:szCs w:val="21"/>
              </w:rPr>
              <w:t>报告类型</w:t>
            </w:r>
          </w:p>
        </w:tc>
        <w:tc>
          <w:tcPr>
            <w:tcW w:w="3487" w:type="dxa"/>
            <w:shd w:val="clear" w:color="auto" w:fill="auto"/>
            <w:vAlign w:val="center"/>
          </w:tcPr>
          <w:p>
            <w:pPr>
              <w:snapToGrid w:val="0"/>
              <w:spacing w:line="360" w:lineRule="auto"/>
              <w:jc w:val="center"/>
              <w:rPr>
                <w:szCs w:val="21"/>
              </w:rPr>
            </w:pPr>
            <w:r>
              <w:rPr>
                <w:szCs w:val="21"/>
              </w:rPr>
              <w:t>文件名称</w:t>
            </w:r>
          </w:p>
        </w:tc>
        <w:tc>
          <w:tcPr>
            <w:tcW w:w="3487" w:type="dxa"/>
            <w:shd w:val="clear" w:color="auto" w:fill="auto"/>
            <w:vAlign w:val="center"/>
          </w:tcPr>
          <w:p>
            <w:pPr>
              <w:snapToGrid w:val="0"/>
              <w:spacing w:line="360" w:lineRule="auto"/>
              <w:jc w:val="center"/>
              <w:rPr>
                <w:szCs w:val="21"/>
              </w:rPr>
            </w:pPr>
            <w:r>
              <w:rPr>
                <w:szCs w:val="21"/>
              </w:rPr>
              <w:t>文件编号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36" w:type="dxa"/>
            <w:shd w:val="clear" w:color="auto" w:fill="auto"/>
            <w:vAlign w:val="center"/>
          </w:tcPr>
          <w:p>
            <w:pPr>
              <w:snapToGrid w:val="0"/>
              <w:spacing w:line="360" w:lineRule="auto"/>
              <w:jc w:val="center"/>
              <w:rPr>
                <w:szCs w:val="21"/>
              </w:rPr>
            </w:pPr>
            <w:r>
              <w:rPr>
                <w:szCs w:val="21"/>
              </w:rPr>
              <w:t>1</w:t>
            </w:r>
          </w:p>
        </w:tc>
        <w:tc>
          <w:tcPr>
            <w:tcW w:w="5738" w:type="dxa"/>
            <w:shd w:val="clear" w:color="auto" w:fill="auto"/>
            <w:vAlign w:val="center"/>
          </w:tcPr>
          <w:p>
            <w:pPr>
              <w:snapToGrid w:val="0"/>
              <w:spacing w:line="360" w:lineRule="auto"/>
              <w:jc w:val="center"/>
              <w:rPr>
                <w:szCs w:val="21"/>
              </w:rPr>
            </w:pPr>
            <w:r>
              <w:rPr>
                <w:szCs w:val="21"/>
              </w:rPr>
              <w:t>技术报告/试验报告/图纸/其他</w:t>
            </w:r>
          </w:p>
        </w:tc>
        <w:tc>
          <w:tcPr>
            <w:tcW w:w="3487" w:type="dxa"/>
            <w:shd w:val="clear" w:color="auto" w:fill="auto"/>
            <w:vAlign w:val="center"/>
          </w:tcPr>
          <w:p>
            <w:pPr>
              <w:snapToGrid w:val="0"/>
              <w:spacing w:line="360" w:lineRule="auto"/>
              <w:jc w:val="center"/>
              <w:rPr>
                <w:szCs w:val="21"/>
              </w:rPr>
            </w:pPr>
          </w:p>
        </w:tc>
        <w:tc>
          <w:tcPr>
            <w:tcW w:w="3487" w:type="dxa"/>
            <w:shd w:val="clear" w:color="auto" w:fill="auto"/>
            <w:vAlign w:val="center"/>
          </w:tcPr>
          <w:p>
            <w:pPr>
              <w:snapToGrid w:val="0"/>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36" w:type="dxa"/>
            <w:shd w:val="clear" w:color="auto" w:fill="auto"/>
          </w:tcPr>
          <w:p>
            <w:pPr>
              <w:snapToGrid w:val="0"/>
              <w:spacing w:line="360" w:lineRule="auto"/>
              <w:rPr>
                <w:szCs w:val="21"/>
              </w:rPr>
            </w:pPr>
          </w:p>
        </w:tc>
        <w:tc>
          <w:tcPr>
            <w:tcW w:w="5738" w:type="dxa"/>
            <w:shd w:val="clear" w:color="auto" w:fill="auto"/>
          </w:tcPr>
          <w:p>
            <w:pPr>
              <w:snapToGrid w:val="0"/>
              <w:spacing w:line="360" w:lineRule="auto"/>
              <w:rPr>
                <w:szCs w:val="21"/>
              </w:rPr>
            </w:pPr>
          </w:p>
        </w:tc>
        <w:tc>
          <w:tcPr>
            <w:tcW w:w="3487" w:type="dxa"/>
            <w:shd w:val="clear" w:color="auto" w:fill="auto"/>
          </w:tcPr>
          <w:p>
            <w:pPr>
              <w:snapToGrid w:val="0"/>
              <w:spacing w:line="360" w:lineRule="auto"/>
              <w:rPr>
                <w:szCs w:val="21"/>
              </w:rPr>
            </w:pPr>
          </w:p>
        </w:tc>
        <w:tc>
          <w:tcPr>
            <w:tcW w:w="3487" w:type="dxa"/>
            <w:shd w:val="clear" w:color="auto" w:fill="auto"/>
          </w:tcPr>
          <w:p>
            <w:pPr>
              <w:snapToGrid w:val="0"/>
              <w:spacing w:line="360" w:lineRule="auto"/>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36" w:type="dxa"/>
            <w:shd w:val="clear" w:color="auto" w:fill="auto"/>
          </w:tcPr>
          <w:p>
            <w:pPr>
              <w:snapToGrid w:val="0"/>
              <w:spacing w:line="360" w:lineRule="auto"/>
              <w:rPr>
                <w:szCs w:val="21"/>
              </w:rPr>
            </w:pPr>
          </w:p>
        </w:tc>
        <w:tc>
          <w:tcPr>
            <w:tcW w:w="5738" w:type="dxa"/>
            <w:shd w:val="clear" w:color="auto" w:fill="auto"/>
          </w:tcPr>
          <w:p>
            <w:pPr>
              <w:snapToGrid w:val="0"/>
              <w:spacing w:line="360" w:lineRule="auto"/>
              <w:rPr>
                <w:szCs w:val="21"/>
              </w:rPr>
            </w:pPr>
          </w:p>
        </w:tc>
        <w:tc>
          <w:tcPr>
            <w:tcW w:w="3487" w:type="dxa"/>
            <w:shd w:val="clear" w:color="auto" w:fill="auto"/>
          </w:tcPr>
          <w:p>
            <w:pPr>
              <w:snapToGrid w:val="0"/>
              <w:spacing w:line="360" w:lineRule="auto"/>
              <w:rPr>
                <w:szCs w:val="21"/>
              </w:rPr>
            </w:pPr>
          </w:p>
        </w:tc>
        <w:tc>
          <w:tcPr>
            <w:tcW w:w="3487" w:type="dxa"/>
            <w:shd w:val="clear" w:color="auto" w:fill="auto"/>
          </w:tcPr>
          <w:p>
            <w:pPr>
              <w:snapToGrid w:val="0"/>
              <w:spacing w:line="360" w:lineRule="auto"/>
              <w:rPr>
                <w:szCs w:val="21"/>
              </w:rPr>
            </w:pPr>
          </w:p>
        </w:tc>
      </w:tr>
    </w:tbl>
    <w:p>
      <w:pPr>
        <w:snapToGrid w:val="0"/>
        <w:spacing w:line="360" w:lineRule="auto"/>
        <w:rPr>
          <w:sz w:val="22"/>
          <w:szCs w:val="28"/>
        </w:rPr>
      </w:pPr>
    </w:p>
    <w:p>
      <w:pPr>
        <w:spacing w:line="360" w:lineRule="auto"/>
        <w:rPr>
          <w:sz w:val="24"/>
          <w:szCs w:val="20"/>
        </w:rPr>
        <w:sectPr>
          <w:pgSz w:w="16838" w:h="11906" w:orient="landscape"/>
          <w:pgMar w:top="1134" w:right="1134" w:bottom="1134" w:left="1134" w:header="624" w:footer="510" w:gutter="0"/>
          <w:cols w:space="720" w:num="1"/>
          <w:docGrid w:type="lines" w:linePitch="312" w:charSpace="0"/>
        </w:sectPr>
      </w:pPr>
    </w:p>
    <w:p>
      <w:pPr>
        <w:spacing w:line="360" w:lineRule="auto"/>
        <w:rPr>
          <w:sz w:val="24"/>
          <w:szCs w:val="20"/>
        </w:rPr>
      </w:pPr>
    </w:p>
    <w:p>
      <w:pPr>
        <w:pBdr>
          <w:top w:val="none" w:color="auto" w:sz="0" w:space="1"/>
          <w:left w:val="none" w:color="auto" w:sz="0" w:space="4"/>
          <w:bottom w:val="none" w:color="auto" w:sz="0" w:space="1"/>
          <w:right w:val="none" w:color="auto" w:sz="0" w:space="4"/>
        </w:pBdr>
        <w:tabs>
          <w:tab w:val="center" w:pos="4153"/>
          <w:tab w:val="right" w:pos="8306"/>
        </w:tabs>
        <w:snapToGrid w:val="0"/>
        <w:jc w:val="center"/>
        <w:rPr>
          <w:sz w:val="36"/>
          <w:szCs w:val="36"/>
        </w:rPr>
      </w:pPr>
      <w:r>
        <w:rPr>
          <w:rFonts w:hint="eastAsia"/>
          <w:sz w:val="36"/>
          <w:szCs w:val="36"/>
        </w:rPr>
        <w:t>10kV冷缩型电缆附件技术规范书审核表单</w:t>
      </w:r>
    </w:p>
    <w:p/>
    <w:tbl>
      <w:tblPr>
        <w:tblStyle w:val="38"/>
        <w:tblW w:w="14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6234"/>
        <w:gridCol w:w="1203"/>
        <w:gridCol w:w="1560"/>
        <w:gridCol w:w="1490"/>
        <w:gridCol w:w="155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69" w:type="dxa"/>
            <w:gridSpan w:val="2"/>
            <w:shd w:val="clear" w:color="auto" w:fill="auto"/>
          </w:tcPr>
          <w:p>
            <w:pPr>
              <w:jc w:val="center"/>
              <w:rPr>
                <w:sz w:val="18"/>
                <w:szCs w:val="18"/>
              </w:rPr>
            </w:pPr>
            <w:r>
              <w:rPr>
                <w:rFonts w:hint="eastAsia"/>
                <w:sz w:val="18"/>
                <w:szCs w:val="18"/>
              </w:rPr>
              <w:t>招标条款要求</w:t>
            </w:r>
          </w:p>
        </w:tc>
        <w:tc>
          <w:tcPr>
            <w:tcW w:w="5812" w:type="dxa"/>
            <w:gridSpan w:val="4"/>
            <w:shd w:val="clear" w:color="auto" w:fill="auto"/>
          </w:tcPr>
          <w:p>
            <w:pPr>
              <w:jc w:val="center"/>
              <w:rPr>
                <w:sz w:val="18"/>
                <w:szCs w:val="18"/>
              </w:rPr>
            </w:pPr>
            <w:r>
              <w:rPr>
                <w:rFonts w:hint="eastAsia"/>
                <w:sz w:val="18"/>
                <w:szCs w:val="18"/>
              </w:rPr>
              <w:t>投标人响应</w:t>
            </w:r>
          </w:p>
        </w:tc>
        <w:tc>
          <w:tcPr>
            <w:tcW w:w="1276" w:type="dxa"/>
            <w:shd w:val="clear" w:color="auto" w:fill="auto"/>
          </w:tcPr>
          <w:p>
            <w:pPr>
              <w:jc w:val="center"/>
              <w:rPr>
                <w:sz w:val="18"/>
                <w:szCs w:val="18"/>
              </w:rPr>
            </w:pPr>
            <w:r>
              <w:rPr>
                <w:rFonts w:hint="eastAsia"/>
                <w:sz w:val="18"/>
                <w:szCs w:val="18"/>
              </w:rPr>
              <w:t>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835" w:type="dxa"/>
            <w:vMerge w:val="restart"/>
            <w:shd w:val="clear" w:color="auto" w:fill="auto"/>
            <w:vAlign w:val="center"/>
          </w:tcPr>
          <w:p>
            <w:pPr>
              <w:jc w:val="center"/>
              <w:rPr>
                <w:sz w:val="18"/>
                <w:szCs w:val="18"/>
              </w:rPr>
            </w:pPr>
            <w:r>
              <w:rPr>
                <w:rFonts w:hint="eastAsia"/>
                <w:sz w:val="18"/>
                <w:szCs w:val="18"/>
              </w:rPr>
              <w:t>条款</w:t>
            </w:r>
            <w:r>
              <w:rPr>
                <w:sz w:val="18"/>
                <w:szCs w:val="18"/>
              </w:rPr>
              <w:t>号</w:t>
            </w:r>
          </w:p>
        </w:tc>
        <w:tc>
          <w:tcPr>
            <w:tcW w:w="6234" w:type="dxa"/>
            <w:vMerge w:val="restart"/>
            <w:shd w:val="clear" w:color="auto" w:fill="auto"/>
            <w:vAlign w:val="center"/>
          </w:tcPr>
          <w:p>
            <w:pPr>
              <w:jc w:val="center"/>
              <w:rPr>
                <w:sz w:val="18"/>
                <w:szCs w:val="18"/>
              </w:rPr>
            </w:pPr>
            <w:r>
              <w:rPr>
                <w:rFonts w:hint="eastAsia"/>
                <w:sz w:val="18"/>
                <w:szCs w:val="18"/>
              </w:rPr>
              <w:t>条款基本</w:t>
            </w:r>
            <w:r>
              <w:rPr>
                <w:sz w:val="18"/>
                <w:szCs w:val="18"/>
              </w:rPr>
              <w:t>内容</w:t>
            </w:r>
            <w:r>
              <w:rPr>
                <w:rFonts w:hint="eastAsia"/>
                <w:sz w:val="18"/>
                <w:szCs w:val="18"/>
              </w:rPr>
              <w:t>和</w:t>
            </w:r>
            <w:r>
              <w:rPr>
                <w:sz w:val="18"/>
                <w:szCs w:val="18"/>
              </w:rPr>
              <w:t>要求</w:t>
            </w:r>
          </w:p>
        </w:tc>
        <w:tc>
          <w:tcPr>
            <w:tcW w:w="1203" w:type="dxa"/>
            <w:vMerge w:val="restart"/>
            <w:shd w:val="clear" w:color="auto" w:fill="auto"/>
            <w:vAlign w:val="center"/>
          </w:tcPr>
          <w:p>
            <w:pPr>
              <w:jc w:val="center"/>
              <w:rPr>
                <w:sz w:val="18"/>
                <w:szCs w:val="18"/>
              </w:rPr>
            </w:pPr>
            <w:r>
              <w:rPr>
                <w:rFonts w:hint="eastAsia"/>
                <w:sz w:val="18"/>
                <w:szCs w:val="18"/>
              </w:rPr>
              <w:t>投标人</w:t>
            </w:r>
            <w:r>
              <w:rPr>
                <w:sz w:val="18"/>
                <w:szCs w:val="18"/>
              </w:rPr>
              <w:t>响应</w:t>
            </w:r>
          </w:p>
        </w:tc>
        <w:tc>
          <w:tcPr>
            <w:tcW w:w="1560" w:type="dxa"/>
            <w:vMerge w:val="restart"/>
            <w:shd w:val="clear" w:color="auto" w:fill="auto"/>
            <w:vAlign w:val="center"/>
          </w:tcPr>
          <w:p>
            <w:pPr>
              <w:jc w:val="center"/>
              <w:rPr>
                <w:sz w:val="18"/>
                <w:szCs w:val="18"/>
              </w:rPr>
            </w:pPr>
            <w:r>
              <w:rPr>
                <w:rFonts w:hint="eastAsia"/>
                <w:sz w:val="18"/>
                <w:szCs w:val="18"/>
              </w:rPr>
              <w:t>投标人</w:t>
            </w:r>
            <w:r>
              <w:rPr>
                <w:sz w:val="18"/>
                <w:szCs w:val="18"/>
              </w:rPr>
              <w:t>响应</w:t>
            </w:r>
            <w:r>
              <w:rPr>
                <w:rFonts w:hint="eastAsia"/>
                <w:sz w:val="18"/>
                <w:szCs w:val="18"/>
              </w:rPr>
              <w:t>值</w:t>
            </w:r>
          </w:p>
        </w:tc>
        <w:tc>
          <w:tcPr>
            <w:tcW w:w="1490" w:type="dxa"/>
            <w:vMerge w:val="restart"/>
            <w:shd w:val="clear" w:color="auto" w:fill="auto"/>
            <w:vAlign w:val="center"/>
          </w:tcPr>
          <w:p>
            <w:pPr>
              <w:jc w:val="center"/>
              <w:rPr>
                <w:sz w:val="18"/>
                <w:szCs w:val="18"/>
              </w:rPr>
            </w:pPr>
            <w:r>
              <w:rPr>
                <w:rFonts w:hint="eastAsia"/>
                <w:sz w:val="18"/>
                <w:szCs w:val="18"/>
              </w:rPr>
              <w:t>证明</w:t>
            </w:r>
            <w:r>
              <w:rPr>
                <w:sz w:val="18"/>
                <w:szCs w:val="18"/>
              </w:rPr>
              <w:t>材料</w:t>
            </w:r>
          </w:p>
        </w:tc>
        <w:tc>
          <w:tcPr>
            <w:tcW w:w="1559" w:type="dxa"/>
            <w:vMerge w:val="restart"/>
            <w:shd w:val="clear" w:color="auto" w:fill="auto"/>
            <w:vAlign w:val="center"/>
          </w:tcPr>
          <w:p>
            <w:pPr>
              <w:jc w:val="center"/>
              <w:rPr>
                <w:sz w:val="18"/>
                <w:szCs w:val="18"/>
              </w:rPr>
            </w:pPr>
            <w:r>
              <w:rPr>
                <w:rFonts w:hint="eastAsia"/>
                <w:sz w:val="18"/>
                <w:szCs w:val="18"/>
              </w:rPr>
              <w:t>投标人偏差</w:t>
            </w:r>
            <w:r>
              <w:rPr>
                <w:sz w:val="18"/>
                <w:szCs w:val="18"/>
              </w:rPr>
              <w:t>说明</w:t>
            </w:r>
          </w:p>
        </w:tc>
        <w:tc>
          <w:tcPr>
            <w:tcW w:w="1276" w:type="dxa"/>
            <w:vMerge w:val="restart"/>
            <w:shd w:val="clear" w:color="auto" w:fill="auto"/>
            <w:vAlign w:val="center"/>
          </w:tcPr>
          <w:p>
            <w:pPr>
              <w:jc w:val="center"/>
              <w:rPr>
                <w:sz w:val="18"/>
                <w:szCs w:val="18"/>
              </w:rPr>
            </w:pPr>
            <w:r>
              <w:rPr>
                <w:rFonts w:hint="eastAsia"/>
                <w:sz w:val="18"/>
                <w:szCs w:val="18"/>
              </w:rPr>
              <w:t>评标</w:t>
            </w:r>
            <w:r>
              <w:rPr>
                <w:sz w:val="18"/>
                <w:szCs w:val="18"/>
              </w:rPr>
              <w:t>专家</w:t>
            </w:r>
          </w:p>
          <w:p>
            <w:pPr>
              <w:jc w:val="center"/>
              <w:rPr>
                <w:sz w:val="18"/>
                <w:szCs w:val="18"/>
              </w:rPr>
            </w:pPr>
            <w:r>
              <w:rPr>
                <w:sz w:val="18"/>
                <w:szCs w:val="18"/>
              </w:rPr>
              <w:t>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835" w:type="dxa"/>
            <w:vMerge w:val="continue"/>
            <w:shd w:val="clear" w:color="auto" w:fill="auto"/>
          </w:tcPr>
          <w:p>
            <w:pPr>
              <w:rPr>
                <w:sz w:val="18"/>
                <w:szCs w:val="18"/>
              </w:rPr>
            </w:pPr>
          </w:p>
        </w:tc>
        <w:tc>
          <w:tcPr>
            <w:tcW w:w="6234" w:type="dxa"/>
            <w:vMerge w:val="continue"/>
            <w:shd w:val="clear" w:color="auto" w:fill="auto"/>
          </w:tcPr>
          <w:p>
            <w:pPr>
              <w:jc w:val="center"/>
              <w:rPr>
                <w:sz w:val="18"/>
                <w:szCs w:val="18"/>
              </w:rPr>
            </w:pPr>
          </w:p>
        </w:tc>
        <w:tc>
          <w:tcPr>
            <w:tcW w:w="1203" w:type="dxa"/>
            <w:vMerge w:val="continue"/>
            <w:shd w:val="clear" w:color="auto" w:fill="auto"/>
          </w:tcPr>
          <w:p>
            <w:pPr>
              <w:jc w:val="center"/>
              <w:rPr>
                <w:sz w:val="18"/>
                <w:szCs w:val="18"/>
              </w:rPr>
            </w:pPr>
          </w:p>
        </w:tc>
        <w:tc>
          <w:tcPr>
            <w:tcW w:w="1560" w:type="dxa"/>
            <w:vMerge w:val="continue"/>
            <w:shd w:val="clear" w:color="auto" w:fill="auto"/>
          </w:tcPr>
          <w:p>
            <w:pPr>
              <w:jc w:val="center"/>
              <w:rPr>
                <w:sz w:val="18"/>
                <w:szCs w:val="18"/>
              </w:rPr>
            </w:pPr>
          </w:p>
        </w:tc>
        <w:tc>
          <w:tcPr>
            <w:tcW w:w="1490" w:type="dxa"/>
            <w:vMerge w:val="continue"/>
            <w:shd w:val="clear" w:color="auto" w:fill="auto"/>
          </w:tcPr>
          <w:p>
            <w:pPr>
              <w:jc w:val="center"/>
              <w:rPr>
                <w:sz w:val="18"/>
                <w:szCs w:val="18"/>
              </w:rPr>
            </w:pPr>
          </w:p>
        </w:tc>
        <w:tc>
          <w:tcPr>
            <w:tcW w:w="1559" w:type="dxa"/>
            <w:vMerge w:val="continue"/>
            <w:shd w:val="clear" w:color="auto" w:fill="auto"/>
          </w:tcPr>
          <w:p>
            <w:pPr>
              <w:jc w:val="center"/>
              <w:rPr>
                <w:sz w:val="18"/>
                <w:szCs w:val="18"/>
              </w:rPr>
            </w:pPr>
          </w:p>
        </w:tc>
        <w:tc>
          <w:tcPr>
            <w:tcW w:w="1276"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5</w:t>
            </w:r>
          </w:p>
        </w:tc>
        <w:tc>
          <w:tcPr>
            <w:tcW w:w="6234" w:type="dxa"/>
            <w:shd w:val="clear" w:color="auto" w:fill="auto"/>
            <w:vAlign w:val="center"/>
          </w:tcPr>
          <w:p>
            <w:pPr>
              <w:rPr>
                <w:sz w:val="18"/>
                <w:szCs w:val="18"/>
              </w:rPr>
            </w:pPr>
            <w:r>
              <w:rPr>
                <w:rFonts w:hint="eastAsia"/>
                <w:sz w:val="18"/>
                <w:szCs w:val="18"/>
              </w:rPr>
              <w:t>技术要求</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jc w:val="left"/>
              <w:rPr>
                <w:sz w:val="18"/>
                <w:szCs w:val="18"/>
              </w:rPr>
            </w:pPr>
            <w:r>
              <w:rPr>
                <w:rFonts w:hint="eastAsia"/>
                <w:sz w:val="18"/>
                <w:szCs w:val="18"/>
              </w:rPr>
              <w:t>外观要求</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rFonts w:hint="default" w:eastAsia="宋体"/>
                <w:sz w:val="18"/>
                <w:szCs w:val="18"/>
                <w:lang w:val="en-US" w:eastAsia="zh-CN"/>
              </w:rPr>
            </w:pPr>
            <w:r>
              <w:rPr>
                <w:rFonts w:hint="eastAsia"/>
                <w:sz w:val="18"/>
                <w:szCs w:val="18"/>
              </w:rPr>
              <w:t>5.2.1.1</w:t>
            </w:r>
            <w:r>
              <w:rPr>
                <w:rFonts w:hint="eastAsia"/>
                <w:sz w:val="18"/>
                <w:szCs w:val="18"/>
                <w:lang w:val="en-US" w:eastAsia="zh-CN"/>
              </w:rPr>
              <w:t>/5.2.2.1</w:t>
            </w:r>
          </w:p>
        </w:tc>
        <w:tc>
          <w:tcPr>
            <w:tcW w:w="6234" w:type="dxa"/>
            <w:shd w:val="clear" w:color="auto" w:fill="auto"/>
            <w:vAlign w:val="center"/>
          </w:tcPr>
          <w:p>
            <w:pPr>
              <w:spacing w:line="360" w:lineRule="auto"/>
              <w:jc w:val="left"/>
              <w:rPr>
                <w:color w:val="000000"/>
                <w:sz w:val="18"/>
                <w:szCs w:val="18"/>
              </w:rPr>
            </w:pPr>
            <w:r>
              <w:rPr>
                <w:color w:val="000000"/>
                <w:sz w:val="18"/>
                <w:szCs w:val="18"/>
              </w:rPr>
              <w:t>1</w:t>
            </w:r>
            <w:r>
              <w:rPr>
                <w:rFonts w:hint="eastAsia"/>
                <w:color w:val="000000"/>
                <w:sz w:val="18"/>
                <w:szCs w:val="18"/>
              </w:rPr>
              <w:t>）电缆附件主体有明显的制造商标志</w:t>
            </w:r>
            <w:r>
              <w:rPr>
                <w:rFonts w:hint="eastAsia"/>
                <w:sz w:val="18"/>
                <w:szCs w:val="18"/>
              </w:rPr>
              <w:t>和冷缩管预扩张日期（精确到月）</w:t>
            </w:r>
            <w:r>
              <w:rPr>
                <w:rFonts w:hint="eastAsia"/>
                <w:color w:val="000000"/>
                <w:sz w:val="18"/>
                <w:szCs w:val="18"/>
              </w:rPr>
              <w:t>，应模制于硅橡胶主体上。</w:t>
            </w:r>
            <w:r>
              <w:rPr>
                <w:color w:val="000000"/>
                <w:sz w:val="18"/>
                <w:szCs w:val="18"/>
              </w:rPr>
              <w:t xml:space="preserve"> </w:t>
            </w:r>
          </w:p>
          <w:p>
            <w:pPr>
              <w:spacing w:line="360" w:lineRule="auto"/>
              <w:jc w:val="left"/>
              <w:rPr>
                <w:color w:val="000000"/>
                <w:sz w:val="18"/>
                <w:szCs w:val="18"/>
              </w:rPr>
            </w:pPr>
            <w:r>
              <w:rPr>
                <w:color w:val="000000"/>
                <w:sz w:val="18"/>
                <w:szCs w:val="18"/>
              </w:rPr>
              <w:t>2</w:t>
            </w:r>
            <w:r>
              <w:rPr>
                <w:rFonts w:hint="eastAsia"/>
                <w:color w:val="000000"/>
                <w:sz w:val="18"/>
                <w:szCs w:val="18"/>
              </w:rPr>
              <w:t>）户外终端采用的相色标示应具有抗紫外线老化性能</w:t>
            </w:r>
            <w:r>
              <w:rPr>
                <w:color w:val="000000"/>
                <w:sz w:val="18"/>
                <w:szCs w:val="18"/>
              </w:rPr>
              <w:t>，供应商应提供相色标示抗紫外线老化的性能试验报告。</w:t>
            </w:r>
          </w:p>
          <w:p>
            <w:pPr>
              <w:jc w:val="left"/>
              <w:rPr>
                <w:sz w:val="18"/>
                <w:szCs w:val="18"/>
              </w:rPr>
            </w:pP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生产工艺及对应控制措施</w:t>
            </w:r>
          </w:p>
        </w:tc>
        <w:tc>
          <w:tcPr>
            <w:tcW w:w="1490" w:type="dxa"/>
            <w:shd w:val="clear" w:color="auto" w:fill="auto"/>
            <w:vAlign w:val="center"/>
          </w:tcPr>
          <w:p>
            <w:pPr>
              <w:jc w:val="center"/>
              <w:rPr>
                <w:sz w:val="18"/>
                <w:szCs w:val="18"/>
              </w:rPr>
            </w:pPr>
            <w:r>
              <w:rPr>
                <w:rFonts w:hint="eastAsia"/>
                <w:sz w:val="18"/>
                <w:szCs w:val="18"/>
              </w:rPr>
              <w:t>工艺和技术文件名称、设计图纸及起止页码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color w:val="000000"/>
                <w:sz w:val="18"/>
                <w:szCs w:val="18"/>
              </w:rPr>
              <w:t>相色标示抗紫外线老化的性能试验报告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jc w:val="left"/>
              <w:rPr>
                <w:sz w:val="18"/>
                <w:szCs w:val="18"/>
              </w:rPr>
            </w:pPr>
            <w:r>
              <w:rPr>
                <w:rFonts w:hint="eastAsia"/>
                <w:sz w:val="18"/>
                <w:szCs w:val="18"/>
              </w:rPr>
              <w:t>主材及结构要求</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rFonts w:hint="default" w:eastAsia="宋体"/>
                <w:sz w:val="18"/>
                <w:szCs w:val="18"/>
                <w:lang w:val="en-US" w:eastAsia="zh-CN"/>
              </w:rPr>
            </w:pPr>
            <w:r>
              <w:rPr>
                <w:rFonts w:hint="eastAsia"/>
                <w:sz w:val="18"/>
                <w:szCs w:val="18"/>
              </w:rPr>
              <w:t>5.2.1.2</w:t>
            </w:r>
            <w:r>
              <w:rPr>
                <w:rFonts w:hint="eastAsia"/>
                <w:sz w:val="18"/>
                <w:szCs w:val="18"/>
                <w:lang w:val="en-US" w:eastAsia="zh-CN"/>
              </w:rPr>
              <w:t>/5.2.2.2</w:t>
            </w:r>
          </w:p>
        </w:tc>
        <w:tc>
          <w:tcPr>
            <w:tcW w:w="6234" w:type="dxa"/>
            <w:shd w:val="clear" w:color="auto" w:fill="auto"/>
            <w:vAlign w:val="center"/>
          </w:tcPr>
          <w:p>
            <w:pPr>
              <w:spacing w:line="360" w:lineRule="auto"/>
              <w:jc w:val="left"/>
              <w:rPr>
                <w:color w:val="000000"/>
                <w:sz w:val="18"/>
                <w:szCs w:val="18"/>
              </w:rPr>
            </w:pPr>
            <w:r>
              <w:rPr>
                <w:color w:val="000000"/>
                <w:sz w:val="18"/>
                <w:szCs w:val="18"/>
              </w:rPr>
              <w:t>1</w:t>
            </w:r>
            <w:r>
              <w:rPr>
                <w:rFonts w:hint="eastAsia"/>
                <w:color w:val="000000"/>
                <w:sz w:val="18"/>
                <w:szCs w:val="18"/>
              </w:rPr>
              <w:t>）终端的应力控制管或应力锥与外绝缘提前预制为一个整体，一次收缩即可完成其安装，无需单独恢复应力控制管或应力锥。采用应力锥结构时需采用整体模压工艺。采用电应力控制结构时，在终端的至少</w:t>
            </w:r>
            <w:r>
              <w:rPr>
                <w:color w:val="000000"/>
                <w:sz w:val="18"/>
                <w:szCs w:val="18"/>
              </w:rPr>
              <w:t>1/2</w:t>
            </w:r>
            <w:r>
              <w:rPr>
                <w:rFonts w:hint="eastAsia"/>
                <w:color w:val="000000"/>
                <w:sz w:val="18"/>
                <w:szCs w:val="18"/>
              </w:rPr>
              <w:t>界面范围内应有电场控制措施；内置的高介电常数应力控制管的介电常数不小于</w:t>
            </w:r>
            <w:r>
              <w:rPr>
                <w:color w:val="000000"/>
                <w:sz w:val="18"/>
                <w:szCs w:val="18"/>
              </w:rPr>
              <w:t>20</w:t>
            </w:r>
            <w:r>
              <w:rPr>
                <w:rFonts w:hint="eastAsia"/>
                <w:color w:val="000000"/>
                <w:sz w:val="18"/>
                <w:szCs w:val="18"/>
              </w:rPr>
              <w:t>，介电强度、绝缘电阻和介电损耗因数应保持长期稳定并满足要求。</w:t>
            </w:r>
          </w:p>
          <w:p>
            <w:pPr>
              <w:spacing w:line="360" w:lineRule="auto"/>
              <w:jc w:val="left"/>
              <w:rPr>
                <w:color w:val="000000"/>
                <w:sz w:val="18"/>
                <w:szCs w:val="18"/>
              </w:rPr>
            </w:pPr>
            <w:r>
              <w:rPr>
                <w:rFonts w:hint="eastAsia"/>
                <w:color w:val="000000"/>
                <w:sz w:val="18"/>
                <w:szCs w:val="18"/>
              </w:rPr>
              <w:t>2）终端的出线杆与电缆导体之间应采用压接方法连接</w:t>
            </w:r>
            <w:r>
              <w:rPr>
                <w:rFonts w:hint="eastAsia"/>
                <w:color w:val="000000"/>
                <w:sz w:val="18"/>
                <w:szCs w:val="18"/>
                <w:lang w:val="en-US" w:eastAsia="zh-CN"/>
              </w:rPr>
              <w:t>，户外终端应采用密封式铜接线端子</w:t>
            </w:r>
            <w:r>
              <w:rPr>
                <w:rFonts w:hint="eastAsia"/>
                <w:color w:val="000000"/>
                <w:sz w:val="18"/>
                <w:szCs w:val="18"/>
              </w:rPr>
              <w:t>。</w:t>
            </w:r>
          </w:p>
          <w:p>
            <w:pPr>
              <w:spacing w:line="360" w:lineRule="auto"/>
              <w:jc w:val="left"/>
              <w:rPr>
                <w:color w:val="000000"/>
                <w:sz w:val="18"/>
                <w:szCs w:val="18"/>
              </w:rPr>
            </w:pPr>
            <w:r>
              <w:rPr>
                <w:rFonts w:hint="eastAsia"/>
                <w:color w:val="000000"/>
                <w:sz w:val="18"/>
                <w:szCs w:val="18"/>
              </w:rPr>
              <w:t>3）户外终端顶端需采用硅橡胶胶带绕包或硅橡胶管密封。</w:t>
            </w:r>
          </w:p>
          <w:p>
            <w:pPr>
              <w:spacing w:line="360" w:lineRule="auto"/>
              <w:jc w:val="left"/>
              <w:rPr>
                <w:color w:val="000000"/>
                <w:sz w:val="18"/>
                <w:szCs w:val="18"/>
              </w:rPr>
            </w:pPr>
            <w:r>
              <w:rPr>
                <w:rFonts w:hint="eastAsia"/>
                <w:color w:val="000000"/>
                <w:sz w:val="18"/>
                <w:szCs w:val="18"/>
              </w:rPr>
              <w:t>4）终端的外绝缘必须采用高温硫化硅橡胶材料（性能参数见附录</w:t>
            </w:r>
            <w:r>
              <w:rPr>
                <w:color w:val="000000"/>
                <w:sz w:val="18"/>
                <w:szCs w:val="18"/>
              </w:rPr>
              <w:t>E</w:t>
            </w:r>
            <w:r>
              <w:rPr>
                <w:rFonts w:hint="eastAsia"/>
                <w:color w:val="000000"/>
                <w:sz w:val="18"/>
                <w:szCs w:val="18"/>
              </w:rPr>
              <w:t>），以实现较好的抗爬电、耐污、抗紫外线等大气老化、耐漏电起痕、耐电蚀、明火离开后有自熄灭等性能</w:t>
            </w:r>
            <w:r>
              <w:rPr>
                <w:color w:val="000000"/>
                <w:sz w:val="18"/>
                <w:szCs w:val="18"/>
              </w:rPr>
              <w:t>，供应商应提供高温硫化硅橡胶的性能试验报告。</w:t>
            </w:r>
          </w:p>
          <w:p>
            <w:pPr>
              <w:spacing w:line="360" w:lineRule="auto"/>
              <w:jc w:val="left"/>
              <w:rPr>
                <w:color w:val="000000"/>
                <w:sz w:val="18"/>
                <w:szCs w:val="18"/>
              </w:rPr>
            </w:pPr>
            <w:r>
              <w:rPr>
                <w:rFonts w:hint="eastAsia"/>
                <w:color w:val="000000"/>
                <w:sz w:val="18"/>
                <w:szCs w:val="18"/>
              </w:rPr>
              <w:t>5）终端内的绝缘填充剂及密封剂，应与电缆及终端内的其它绝缘材料相容</w:t>
            </w:r>
            <w:r>
              <w:rPr>
                <w:color w:val="000000"/>
                <w:sz w:val="18"/>
                <w:szCs w:val="18"/>
              </w:rPr>
              <w:t>，供应商应提供相容性的性能试验报告</w:t>
            </w:r>
            <w:r>
              <w:rPr>
                <w:rFonts w:hint="eastAsia"/>
                <w:color w:val="000000"/>
                <w:sz w:val="18"/>
                <w:szCs w:val="18"/>
              </w:rPr>
              <w:t>。</w:t>
            </w:r>
          </w:p>
          <w:p>
            <w:pPr>
              <w:spacing w:line="360" w:lineRule="auto"/>
              <w:jc w:val="left"/>
              <w:rPr>
                <w:color w:val="000000"/>
                <w:sz w:val="18"/>
                <w:szCs w:val="18"/>
              </w:rPr>
            </w:pPr>
            <w:r>
              <w:rPr>
                <w:rFonts w:hint="eastAsia"/>
                <w:color w:val="000000"/>
                <w:sz w:val="18"/>
                <w:szCs w:val="18"/>
              </w:rPr>
              <w:t>6）为方便检测电缆内、外护套电气性能，电缆铜屏蔽层与铠装层应用两条镀锡编织铜线分开接地</w:t>
            </w:r>
            <w:r>
              <w:rPr>
                <w:color w:val="000000"/>
                <w:sz w:val="18"/>
                <w:szCs w:val="18"/>
              </w:rPr>
              <w:t>，</w:t>
            </w:r>
            <w:r>
              <w:rPr>
                <w:rFonts w:hint="eastAsia"/>
                <w:color w:val="000000"/>
                <w:sz w:val="18"/>
                <w:szCs w:val="18"/>
              </w:rPr>
              <w:t>接地线单条截面积不小于</w:t>
            </w:r>
            <w:r>
              <w:rPr>
                <w:color w:val="000000"/>
                <w:sz w:val="18"/>
                <w:szCs w:val="18"/>
              </w:rPr>
              <w:t>25mm2</w:t>
            </w:r>
            <w:r>
              <w:rPr>
                <w:rFonts w:hint="eastAsia"/>
                <w:color w:val="000000"/>
                <w:sz w:val="18"/>
                <w:szCs w:val="18"/>
              </w:rPr>
              <w:t>。</w:t>
            </w:r>
          </w:p>
          <w:p>
            <w:pPr>
              <w:spacing w:line="360" w:lineRule="auto"/>
              <w:jc w:val="left"/>
              <w:rPr>
                <w:color w:val="000000"/>
                <w:sz w:val="18"/>
                <w:szCs w:val="18"/>
              </w:rPr>
            </w:pPr>
            <w:r>
              <w:rPr>
                <w:rFonts w:hint="eastAsia"/>
                <w:color w:val="000000"/>
                <w:sz w:val="18"/>
                <w:szCs w:val="18"/>
              </w:rPr>
              <w:t>7</w:t>
            </w:r>
            <w:r>
              <w:rPr>
                <w:color w:val="000000"/>
                <w:sz w:val="18"/>
                <w:szCs w:val="18"/>
              </w:rPr>
              <w:t>）供应商应随产品</w:t>
            </w:r>
            <w:r>
              <w:rPr>
                <w:rFonts w:hint="eastAsia"/>
                <w:color w:val="000000"/>
                <w:sz w:val="18"/>
                <w:szCs w:val="18"/>
              </w:rPr>
              <w:t>提供冷缩</w:t>
            </w:r>
            <w:r>
              <w:rPr>
                <w:color w:val="000000"/>
                <w:sz w:val="18"/>
                <w:szCs w:val="18"/>
              </w:rPr>
              <w:t>附件的</w:t>
            </w:r>
            <w:r>
              <w:rPr>
                <w:rFonts w:hint="eastAsia"/>
                <w:color w:val="000000"/>
                <w:sz w:val="18"/>
                <w:szCs w:val="18"/>
              </w:rPr>
              <w:t>原始内径</w:t>
            </w:r>
            <w:r>
              <w:rPr>
                <w:color w:val="000000"/>
                <w:sz w:val="18"/>
                <w:szCs w:val="18"/>
              </w:rPr>
              <w:t>、冷缩</w:t>
            </w:r>
            <w:r>
              <w:rPr>
                <w:rFonts w:hint="eastAsia"/>
                <w:color w:val="000000"/>
                <w:sz w:val="18"/>
                <w:szCs w:val="18"/>
              </w:rPr>
              <w:t>扩张率</w:t>
            </w:r>
            <w:r>
              <w:rPr>
                <w:color w:val="000000"/>
                <w:sz w:val="18"/>
                <w:szCs w:val="18"/>
              </w:rPr>
              <w:t>、电缆主绝缘上的扩张率等参数</w:t>
            </w:r>
            <w:r>
              <w:rPr>
                <w:rFonts w:hint="eastAsia"/>
                <w:color w:val="000000"/>
                <w:sz w:val="18"/>
                <w:szCs w:val="18"/>
              </w:rPr>
              <w:t>，冷缩附件</w:t>
            </w:r>
            <w:r>
              <w:rPr>
                <w:color w:val="000000"/>
                <w:sz w:val="18"/>
                <w:szCs w:val="18"/>
              </w:rPr>
              <w:t>整体</w:t>
            </w:r>
            <w:r>
              <w:rPr>
                <w:rFonts w:hint="eastAsia"/>
                <w:color w:val="000000"/>
                <w:sz w:val="18"/>
                <w:szCs w:val="18"/>
              </w:rPr>
              <w:t>在</w:t>
            </w:r>
            <w:r>
              <w:rPr>
                <w:color w:val="000000"/>
                <w:sz w:val="18"/>
                <w:szCs w:val="18"/>
              </w:rPr>
              <w:t>自然通风老化试验箱的100</w:t>
            </w:r>
            <w:r>
              <w:rPr>
                <w:rFonts w:hint="eastAsia"/>
                <w:color w:val="000000"/>
                <w:sz w:val="18"/>
                <w:szCs w:val="18"/>
              </w:rPr>
              <w:t>摄氏度下</w:t>
            </w:r>
            <w:r>
              <w:rPr>
                <w:color w:val="000000"/>
                <w:sz w:val="18"/>
                <w:szCs w:val="18"/>
              </w:rPr>
              <w:t>3</w:t>
            </w:r>
            <w:r>
              <w:rPr>
                <w:rFonts w:hint="eastAsia"/>
                <w:color w:val="000000"/>
                <w:sz w:val="18"/>
                <w:szCs w:val="18"/>
              </w:rPr>
              <w:t>小时老化后</w:t>
            </w:r>
            <w:r>
              <w:rPr>
                <w:color w:val="000000"/>
                <w:sz w:val="18"/>
                <w:szCs w:val="18"/>
              </w:rPr>
              <w:t>与原始内径比较的</w:t>
            </w:r>
            <w:r>
              <w:rPr>
                <w:rFonts w:hint="eastAsia"/>
                <w:color w:val="000000"/>
                <w:sz w:val="18"/>
                <w:szCs w:val="18"/>
              </w:rPr>
              <w:t>永久变形率小于</w:t>
            </w:r>
            <w:r>
              <w:rPr>
                <w:color w:val="000000"/>
                <w:sz w:val="18"/>
                <w:szCs w:val="18"/>
              </w:rPr>
              <w:t>5%</w:t>
            </w:r>
            <w:r>
              <w:rPr>
                <w:rFonts w:hint="eastAsia"/>
                <w:color w:val="000000"/>
                <w:sz w:val="18"/>
                <w:szCs w:val="18"/>
              </w:rPr>
              <w:t>。</w:t>
            </w:r>
          </w:p>
          <w:p>
            <w:pPr>
              <w:spacing w:line="360" w:lineRule="auto"/>
              <w:jc w:val="left"/>
              <w:rPr>
                <w:sz w:val="18"/>
                <w:szCs w:val="18"/>
              </w:rPr>
            </w:pPr>
            <w:r>
              <w:rPr>
                <w:rFonts w:hint="eastAsia"/>
                <w:color w:val="000000"/>
                <w:sz w:val="18"/>
                <w:szCs w:val="18"/>
              </w:rPr>
              <w:t>8）冷缩扩张率：（</w:t>
            </w:r>
            <w:r>
              <w:rPr>
                <w:color w:val="000000"/>
                <w:sz w:val="18"/>
                <w:szCs w:val="18"/>
              </w:rPr>
              <w:t>1</w:t>
            </w:r>
            <w:r>
              <w:rPr>
                <w:rFonts w:hint="eastAsia"/>
                <w:color w:val="000000"/>
                <w:sz w:val="18"/>
                <w:szCs w:val="18"/>
              </w:rPr>
              <w:t>）冷缩扩张率是指芯绳的外直径与电缆附件在室温下自然收缩</w:t>
            </w:r>
            <w:r>
              <w:rPr>
                <w:color w:val="000000"/>
                <w:sz w:val="18"/>
                <w:szCs w:val="18"/>
              </w:rPr>
              <w:t>24</w:t>
            </w:r>
            <w:r>
              <w:rPr>
                <w:rFonts w:hint="eastAsia"/>
                <w:color w:val="000000"/>
                <w:sz w:val="18"/>
                <w:szCs w:val="18"/>
              </w:rPr>
              <w:t>小时后的内直径之比。（</w:t>
            </w:r>
            <w:r>
              <w:rPr>
                <w:color w:val="000000"/>
                <w:sz w:val="18"/>
                <w:szCs w:val="18"/>
              </w:rPr>
              <w:t>2</w:t>
            </w:r>
            <w:r>
              <w:rPr>
                <w:rFonts w:hint="eastAsia"/>
                <w:color w:val="000000"/>
                <w:sz w:val="18"/>
                <w:szCs w:val="18"/>
              </w:rPr>
              <w:t>）为方便安装过程中抽取芯绳，且安装后冷缩本体有效压紧电缆本体，要求冷缩电缆接头的扩张率大于</w:t>
            </w:r>
            <w:r>
              <w:rPr>
                <w:color w:val="000000"/>
                <w:sz w:val="18"/>
                <w:szCs w:val="18"/>
              </w:rPr>
              <w:t>150%</w:t>
            </w:r>
            <w:r>
              <w:rPr>
                <w:rFonts w:hint="eastAsia"/>
                <w:color w:val="000000"/>
                <w:sz w:val="18"/>
                <w:szCs w:val="18"/>
              </w:rPr>
              <w:t>，</w:t>
            </w:r>
            <w:r>
              <w:rPr>
                <w:color w:val="000000"/>
                <w:sz w:val="18"/>
                <w:szCs w:val="18"/>
              </w:rPr>
              <w:t>电缆主绝缘上的扩张率大于120%，</w:t>
            </w:r>
            <w:r>
              <w:rPr>
                <w:rFonts w:hint="eastAsia"/>
                <w:color w:val="000000"/>
                <w:sz w:val="18"/>
                <w:szCs w:val="18"/>
              </w:rPr>
              <w:t>从而保证安装在电缆上时有足够的界面压力和电气性能。</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生产工艺及对应控制措施</w:t>
            </w:r>
          </w:p>
        </w:tc>
        <w:tc>
          <w:tcPr>
            <w:tcW w:w="1490" w:type="dxa"/>
            <w:shd w:val="clear" w:color="auto" w:fill="auto"/>
            <w:vAlign w:val="center"/>
          </w:tcPr>
          <w:p>
            <w:pPr>
              <w:jc w:val="center"/>
              <w:rPr>
                <w:sz w:val="18"/>
                <w:szCs w:val="18"/>
              </w:rPr>
            </w:pPr>
            <w:r>
              <w:rPr>
                <w:rFonts w:hint="eastAsia"/>
                <w:sz w:val="18"/>
                <w:szCs w:val="18"/>
              </w:rPr>
              <w:t>工艺和技术文件名称、设计图纸及起止页码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color w:val="000000"/>
                <w:sz w:val="18"/>
                <w:szCs w:val="18"/>
              </w:rPr>
            </w:pPr>
            <w:r>
              <w:rPr>
                <w:color w:val="000000"/>
                <w:sz w:val="18"/>
                <w:szCs w:val="18"/>
              </w:rPr>
              <w:t>高温硫化硅橡胶的性能试验报告</w:t>
            </w:r>
            <w:r>
              <w:rPr>
                <w:rFonts w:hint="eastAsia"/>
                <w:color w:val="000000"/>
                <w:sz w:val="18"/>
                <w:szCs w:val="18"/>
              </w:rPr>
              <w:t>、</w:t>
            </w:r>
            <w:r>
              <w:rPr>
                <w:color w:val="000000"/>
                <w:sz w:val="18"/>
                <w:szCs w:val="18"/>
              </w:rPr>
              <w:t>相容性的性能试验报告</w:t>
            </w:r>
            <w:r>
              <w:rPr>
                <w:rFonts w:hint="eastAsia"/>
                <w:color w:val="000000"/>
                <w:sz w:val="18"/>
                <w:szCs w:val="18"/>
              </w:rPr>
              <w:t>、电缆铜屏蔽层与铠装层的结构图、冷缩附件</w:t>
            </w:r>
            <w:r>
              <w:rPr>
                <w:color w:val="000000"/>
                <w:sz w:val="18"/>
                <w:szCs w:val="18"/>
              </w:rPr>
              <w:t>整体</w:t>
            </w:r>
            <w:r>
              <w:rPr>
                <w:rFonts w:hint="eastAsia"/>
                <w:color w:val="000000"/>
                <w:sz w:val="18"/>
                <w:szCs w:val="18"/>
              </w:rPr>
              <w:t>在</w:t>
            </w:r>
            <w:r>
              <w:rPr>
                <w:color w:val="000000"/>
                <w:sz w:val="18"/>
                <w:szCs w:val="18"/>
              </w:rPr>
              <w:t>自然通风老化试验箱的100</w:t>
            </w:r>
            <w:r>
              <w:rPr>
                <w:rFonts w:hint="eastAsia"/>
                <w:color w:val="000000"/>
                <w:sz w:val="18"/>
                <w:szCs w:val="18"/>
              </w:rPr>
              <w:t>摄氏度下</w:t>
            </w:r>
            <w:r>
              <w:rPr>
                <w:color w:val="000000"/>
                <w:sz w:val="18"/>
                <w:szCs w:val="18"/>
              </w:rPr>
              <w:t>3</w:t>
            </w:r>
            <w:r>
              <w:rPr>
                <w:rFonts w:hint="eastAsia"/>
                <w:color w:val="000000"/>
                <w:sz w:val="18"/>
                <w:szCs w:val="18"/>
              </w:rPr>
              <w:t>小时老化后</w:t>
            </w:r>
            <w:r>
              <w:rPr>
                <w:color w:val="000000"/>
                <w:sz w:val="18"/>
                <w:szCs w:val="18"/>
              </w:rPr>
              <w:t>与原始内径的试验报告</w:t>
            </w:r>
            <w:r>
              <w:rPr>
                <w:rFonts w:hint="eastAsia"/>
                <w:color w:val="000000"/>
                <w:sz w:val="18"/>
                <w:szCs w:val="18"/>
              </w:rPr>
              <w:t>、冷缩扩张率试验报告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jc w:val="left"/>
              <w:rPr>
                <w:sz w:val="18"/>
                <w:szCs w:val="18"/>
              </w:rPr>
            </w:pPr>
            <w:r>
              <w:rPr>
                <w:rFonts w:hint="eastAsia"/>
                <w:sz w:val="18"/>
                <w:szCs w:val="18"/>
              </w:rPr>
              <w:t>辅材要求</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rFonts w:hint="default" w:eastAsia="宋体"/>
                <w:sz w:val="18"/>
                <w:szCs w:val="18"/>
                <w:lang w:val="en-US" w:eastAsia="zh-CN"/>
              </w:rPr>
            </w:pPr>
            <w:r>
              <w:rPr>
                <w:rFonts w:hint="eastAsia"/>
                <w:sz w:val="18"/>
                <w:szCs w:val="18"/>
              </w:rPr>
              <w:t>5.2.1.3</w:t>
            </w:r>
            <w:r>
              <w:rPr>
                <w:rFonts w:hint="eastAsia"/>
                <w:sz w:val="18"/>
                <w:szCs w:val="18"/>
                <w:lang w:val="en-US" w:eastAsia="zh-CN"/>
              </w:rPr>
              <w:t>/5.2.2.3</w:t>
            </w:r>
          </w:p>
        </w:tc>
        <w:tc>
          <w:tcPr>
            <w:tcW w:w="6234" w:type="dxa"/>
            <w:shd w:val="clear" w:color="auto" w:fill="auto"/>
            <w:vAlign w:val="center"/>
          </w:tcPr>
          <w:p>
            <w:pPr>
              <w:spacing w:line="360" w:lineRule="auto"/>
              <w:rPr>
                <w:color w:val="000000"/>
                <w:sz w:val="18"/>
                <w:szCs w:val="18"/>
              </w:rPr>
            </w:pPr>
            <w:r>
              <w:rPr>
                <w:color w:val="000000"/>
                <w:sz w:val="18"/>
                <w:szCs w:val="18"/>
              </w:rPr>
              <w:t>1</w:t>
            </w:r>
            <w:r>
              <w:rPr>
                <w:rFonts w:hint="eastAsia"/>
                <w:color w:val="000000"/>
                <w:sz w:val="18"/>
                <w:szCs w:val="18"/>
              </w:rPr>
              <w:t>）恒力弹簧：接地线采用恒力弹簧固定，不采用焊锡固定或铜丝捆扎。恒力弹簧应采用优质无磁或微磁材料，运行过程中不得锈蚀，可提供长久的抱紧力，正常运行下无涡流和电位悬浮，并有模制的电缆附件制造企业标识。恒力弹簧在自然状态下不少于</w:t>
            </w:r>
            <w:r>
              <w:rPr>
                <w:color w:val="000000"/>
                <w:sz w:val="18"/>
                <w:szCs w:val="18"/>
              </w:rPr>
              <w:t>5</w:t>
            </w:r>
            <w:r>
              <w:rPr>
                <w:rFonts w:hint="eastAsia"/>
                <w:color w:val="000000"/>
                <w:sz w:val="18"/>
                <w:szCs w:val="18"/>
              </w:rPr>
              <w:t>层，</w:t>
            </w:r>
            <w:r>
              <w:rPr>
                <w:color w:val="000000"/>
                <w:sz w:val="18"/>
                <w:szCs w:val="18"/>
              </w:rPr>
              <w:t xml:space="preserve"> </w:t>
            </w:r>
            <w:r>
              <w:rPr>
                <w:rFonts w:hint="eastAsia"/>
                <w:color w:val="000000"/>
                <w:sz w:val="18"/>
                <w:szCs w:val="18"/>
              </w:rPr>
              <w:t>宽度不少于</w:t>
            </w:r>
            <w:r>
              <w:rPr>
                <w:color w:val="000000"/>
                <w:sz w:val="18"/>
                <w:szCs w:val="18"/>
              </w:rPr>
              <w:t>15mm</w:t>
            </w:r>
            <w:r>
              <w:rPr>
                <w:rFonts w:hint="eastAsia"/>
                <w:color w:val="000000"/>
                <w:sz w:val="18"/>
                <w:szCs w:val="18"/>
              </w:rPr>
              <w:t>。</w:t>
            </w:r>
            <w:r>
              <w:rPr>
                <w:color w:val="000000"/>
                <w:sz w:val="18"/>
                <w:szCs w:val="18"/>
              </w:rPr>
              <w:t>恒力弹簧按实际接头按装10天后，取出恒力弹簧复原不应有明显的变形。</w:t>
            </w:r>
          </w:p>
          <w:p>
            <w:pPr>
              <w:spacing w:line="360" w:lineRule="auto"/>
              <w:rPr>
                <w:color w:val="000000"/>
                <w:sz w:val="18"/>
                <w:szCs w:val="18"/>
              </w:rPr>
            </w:pPr>
            <w:r>
              <w:rPr>
                <w:rFonts w:hint="eastAsia"/>
                <w:color w:val="000000"/>
                <w:sz w:val="18"/>
                <w:szCs w:val="18"/>
              </w:rPr>
              <w:t>2）支撑芯绳：电缆附件宜采用聚乙烯芯绳支撑方式，冷缩支撑芯绳从一端能够完整抽出。芯绳宜采用搭扣式方式，每圈芯绳都具有连续均匀的焊接点，以保证其足够的机械强度和安装时的均匀抽取。安装在芯绳上的电缆终端在</w:t>
            </w:r>
            <w:r>
              <w:rPr>
                <w:color w:val="000000"/>
                <w:sz w:val="18"/>
                <w:szCs w:val="18"/>
              </w:rPr>
              <w:t>自然通风老化箱60</w:t>
            </w:r>
            <w:r>
              <w:rPr>
                <w:rFonts w:hint="eastAsia"/>
                <w:color w:val="000000"/>
                <w:sz w:val="18"/>
                <w:szCs w:val="18"/>
              </w:rPr>
              <w:t>℃下</w:t>
            </w:r>
            <w:r>
              <w:rPr>
                <w:color w:val="000000"/>
                <w:sz w:val="18"/>
                <w:szCs w:val="18"/>
              </w:rPr>
              <w:t>72</w:t>
            </w:r>
            <w:r>
              <w:rPr>
                <w:rFonts w:hint="eastAsia"/>
                <w:color w:val="000000"/>
                <w:sz w:val="18"/>
                <w:szCs w:val="18"/>
              </w:rPr>
              <w:t>小时的老化试验后，不出现松垮、不塌陷等现象，且芯绳在抽出过程中不会出现明显的移位现象，同时满足中间接头的芯绳在将冷缩管剥除后，直接测量支撑芯绳的抗压强度，其值应不低于</w:t>
            </w:r>
            <w:r>
              <w:rPr>
                <w:color w:val="000000"/>
                <w:sz w:val="18"/>
                <w:szCs w:val="18"/>
              </w:rPr>
              <w:t>0.5kN</w:t>
            </w:r>
            <w:r>
              <w:rPr>
                <w:rFonts w:hint="eastAsia"/>
                <w:color w:val="000000"/>
                <w:sz w:val="18"/>
                <w:szCs w:val="18"/>
              </w:rPr>
              <w:t>。</w:t>
            </w:r>
          </w:p>
          <w:p>
            <w:pPr>
              <w:spacing w:line="360" w:lineRule="auto"/>
              <w:rPr>
                <w:color w:val="000000"/>
                <w:sz w:val="18"/>
                <w:szCs w:val="18"/>
              </w:rPr>
            </w:pPr>
            <w:r>
              <w:rPr>
                <w:rFonts w:hint="eastAsia"/>
                <w:color w:val="000000"/>
                <w:sz w:val="18"/>
                <w:szCs w:val="18"/>
              </w:rPr>
              <w:t>3）绝缘混合剂：中间接头内部和电缆主绝缘界面表面须采用不会被橡胶接头主体吸收或者干涸的绝缘混合剂以增强电气性能，绝缘混合剂必须长时间呈液态膏状，以填充气隙，不干涸或被硅橡胶接头主体吸收，且降低局部放电水平。其性能应至少满足附录</w:t>
            </w:r>
            <w:r>
              <w:rPr>
                <w:color w:val="000000"/>
                <w:sz w:val="18"/>
                <w:szCs w:val="18"/>
              </w:rPr>
              <w:t>F</w:t>
            </w:r>
            <w:r>
              <w:rPr>
                <w:rFonts w:hint="eastAsia"/>
                <w:color w:val="000000"/>
                <w:sz w:val="18"/>
                <w:szCs w:val="18"/>
              </w:rPr>
              <w:t>的要求。</w:t>
            </w:r>
            <w:r>
              <w:rPr>
                <w:color w:val="000000"/>
                <w:sz w:val="18"/>
                <w:szCs w:val="18"/>
              </w:rPr>
              <w:t>供应商需提供</w:t>
            </w:r>
            <w:r>
              <w:rPr>
                <w:rFonts w:hint="eastAsia"/>
                <w:color w:val="000000"/>
                <w:sz w:val="18"/>
                <w:szCs w:val="18"/>
              </w:rPr>
              <w:t>绝缘混合剂</w:t>
            </w:r>
            <w:r>
              <w:rPr>
                <w:color w:val="000000"/>
                <w:sz w:val="18"/>
                <w:szCs w:val="18"/>
              </w:rPr>
              <w:t>的性能试验报告。</w:t>
            </w:r>
          </w:p>
          <w:p>
            <w:pPr>
              <w:spacing w:line="360" w:lineRule="auto"/>
              <w:rPr>
                <w:color w:val="000000"/>
                <w:sz w:val="18"/>
                <w:szCs w:val="18"/>
              </w:rPr>
            </w:pPr>
            <w:r>
              <w:rPr>
                <w:rFonts w:hint="eastAsia"/>
                <w:color w:val="000000"/>
                <w:sz w:val="18"/>
                <w:szCs w:val="18"/>
              </w:rPr>
              <w:t>4）绝缘自粘胶带：绝缘自粘胶带为乙丙橡胶带基的自融胶带，管芯上应印有清晰的生产厂家标志。正常运行温度不低于</w:t>
            </w:r>
            <w:r>
              <w:rPr>
                <w:color w:val="000000"/>
                <w:sz w:val="18"/>
                <w:szCs w:val="18"/>
              </w:rPr>
              <w:t>90</w:t>
            </w:r>
            <w:r>
              <w:rPr>
                <w:rFonts w:hint="eastAsia"/>
                <w:color w:val="000000"/>
                <w:sz w:val="18"/>
                <w:szCs w:val="18"/>
              </w:rPr>
              <w:t>℃，介电强度不低于</w:t>
            </w:r>
            <w:r>
              <w:rPr>
                <w:color w:val="000000"/>
                <w:sz w:val="18"/>
                <w:szCs w:val="18"/>
              </w:rPr>
              <w:t>31kV/mm</w:t>
            </w:r>
            <w:r>
              <w:rPr>
                <w:rFonts w:hint="eastAsia"/>
                <w:color w:val="000000"/>
                <w:sz w:val="18"/>
                <w:szCs w:val="18"/>
              </w:rPr>
              <w:t>。</w:t>
            </w:r>
            <w:r>
              <w:rPr>
                <w:color w:val="000000"/>
                <w:sz w:val="18"/>
                <w:szCs w:val="18"/>
              </w:rPr>
              <w:t>供应商需提供</w:t>
            </w:r>
            <w:r>
              <w:rPr>
                <w:rFonts w:hint="eastAsia"/>
                <w:color w:val="000000"/>
                <w:sz w:val="18"/>
                <w:szCs w:val="18"/>
              </w:rPr>
              <w:t>绝缘自粘胶带</w:t>
            </w:r>
            <w:r>
              <w:rPr>
                <w:color w:val="000000"/>
                <w:sz w:val="18"/>
                <w:szCs w:val="18"/>
              </w:rPr>
              <w:t>的性能试验报告。</w:t>
            </w:r>
          </w:p>
          <w:p>
            <w:pPr>
              <w:spacing w:line="360" w:lineRule="auto"/>
              <w:rPr>
                <w:color w:val="000000"/>
                <w:sz w:val="18"/>
                <w:szCs w:val="18"/>
              </w:rPr>
            </w:pPr>
            <w:r>
              <w:rPr>
                <w:rFonts w:hint="eastAsia"/>
                <w:color w:val="000000"/>
                <w:sz w:val="18"/>
                <w:szCs w:val="18"/>
              </w:rPr>
              <w:t>5）半导电胶带：半导电胶带为从形性良好的乙丙橡胶带，易于拉伸，拉伸时也保持电导率，正常运行温度不低于</w:t>
            </w:r>
            <w:r>
              <w:rPr>
                <w:color w:val="000000"/>
                <w:sz w:val="18"/>
                <w:szCs w:val="18"/>
              </w:rPr>
              <w:t>90</w:t>
            </w:r>
            <w:r>
              <w:rPr>
                <w:rFonts w:hint="eastAsia"/>
                <w:color w:val="000000"/>
                <w:sz w:val="18"/>
                <w:szCs w:val="18"/>
              </w:rPr>
              <w:t>℃。</w:t>
            </w:r>
          </w:p>
          <w:p>
            <w:pPr>
              <w:spacing w:line="360" w:lineRule="auto"/>
              <w:rPr>
                <w:color w:val="000000"/>
                <w:sz w:val="18"/>
                <w:szCs w:val="18"/>
              </w:rPr>
            </w:pPr>
            <w:r>
              <w:rPr>
                <w:rFonts w:hint="eastAsia"/>
                <w:color w:val="000000"/>
                <w:sz w:val="18"/>
                <w:szCs w:val="18"/>
              </w:rPr>
              <w:t>6）防水胶带：采用防水胶带结构时，应具有以下特性（</w:t>
            </w:r>
            <w:r>
              <w:rPr>
                <w:color w:val="000000"/>
                <w:sz w:val="18"/>
                <w:szCs w:val="18"/>
              </w:rPr>
              <w:t>1</w:t>
            </w:r>
            <w:r>
              <w:rPr>
                <w:rFonts w:hint="eastAsia"/>
                <w:color w:val="000000"/>
                <w:sz w:val="18"/>
                <w:szCs w:val="18"/>
              </w:rPr>
              <w:t>）防水胶带离型纸或管芯上应印有清晰的生产厂家标志；（</w:t>
            </w:r>
            <w:r>
              <w:rPr>
                <w:color w:val="000000"/>
                <w:sz w:val="18"/>
                <w:szCs w:val="18"/>
              </w:rPr>
              <w:t>2</w:t>
            </w:r>
            <w:r>
              <w:rPr>
                <w:rFonts w:hint="eastAsia"/>
                <w:color w:val="000000"/>
                <w:sz w:val="18"/>
                <w:szCs w:val="18"/>
              </w:rPr>
              <w:t>）绝缘防水胶带须有优良的防水密封性能和绝缘性能，与各种电缆相容性好；（</w:t>
            </w:r>
            <w:r>
              <w:rPr>
                <w:color w:val="000000"/>
                <w:sz w:val="18"/>
                <w:szCs w:val="18"/>
              </w:rPr>
              <w:t>3</w:t>
            </w:r>
            <w:r>
              <w:rPr>
                <w:rFonts w:hint="eastAsia"/>
                <w:color w:val="000000"/>
                <w:sz w:val="18"/>
                <w:szCs w:val="18"/>
              </w:rPr>
              <w:t>）防水胶带的粘性不低于</w:t>
            </w:r>
            <w:r>
              <w:rPr>
                <w:color w:val="000000"/>
                <w:sz w:val="18"/>
                <w:szCs w:val="18"/>
              </w:rPr>
              <w:t>26N/10mm</w:t>
            </w:r>
            <w:r>
              <w:rPr>
                <w:rFonts w:hint="eastAsia"/>
                <w:color w:val="000000"/>
                <w:sz w:val="18"/>
                <w:szCs w:val="18"/>
              </w:rPr>
              <w:t>（对钢板），</w:t>
            </w:r>
            <w:r>
              <w:rPr>
                <w:color w:val="000000"/>
                <w:sz w:val="18"/>
                <w:szCs w:val="18"/>
              </w:rPr>
              <w:t>17N/10mm</w:t>
            </w:r>
            <w:r>
              <w:rPr>
                <w:rFonts w:hint="eastAsia"/>
                <w:color w:val="000000"/>
                <w:sz w:val="18"/>
                <w:szCs w:val="18"/>
              </w:rPr>
              <w:t>（对聚乙烯）；（</w:t>
            </w:r>
            <w:r>
              <w:rPr>
                <w:color w:val="000000"/>
                <w:sz w:val="18"/>
                <w:szCs w:val="18"/>
              </w:rPr>
              <w:t>4</w:t>
            </w:r>
            <w:r>
              <w:rPr>
                <w:rFonts w:hint="eastAsia"/>
                <w:color w:val="000000"/>
                <w:sz w:val="18"/>
                <w:szCs w:val="18"/>
              </w:rPr>
              <w:t>）防水胶带的吸水率不高于</w:t>
            </w:r>
            <w:r>
              <w:rPr>
                <w:color w:val="000000"/>
                <w:sz w:val="18"/>
                <w:szCs w:val="18"/>
              </w:rPr>
              <w:t>0.15%</w:t>
            </w:r>
            <w:r>
              <w:rPr>
                <w:rFonts w:hint="eastAsia"/>
                <w:color w:val="000000"/>
                <w:sz w:val="18"/>
                <w:szCs w:val="18"/>
              </w:rPr>
              <w:t>，参考测试标准为</w:t>
            </w:r>
            <w:r>
              <w:rPr>
                <w:color w:val="000000"/>
                <w:sz w:val="18"/>
                <w:szCs w:val="18"/>
              </w:rPr>
              <w:t>ASTM D-570</w:t>
            </w:r>
            <w:r>
              <w:rPr>
                <w:rFonts w:hint="eastAsia"/>
                <w:color w:val="000000"/>
                <w:sz w:val="18"/>
                <w:szCs w:val="18"/>
              </w:rPr>
              <w:t>；（</w:t>
            </w:r>
            <w:r>
              <w:rPr>
                <w:color w:val="000000"/>
                <w:sz w:val="18"/>
                <w:szCs w:val="18"/>
              </w:rPr>
              <w:t>5</w:t>
            </w:r>
            <w:r>
              <w:rPr>
                <w:rFonts w:hint="eastAsia"/>
                <w:color w:val="000000"/>
                <w:sz w:val="18"/>
                <w:szCs w:val="18"/>
              </w:rPr>
              <w:t>）将防水带紧密绕包端部两层的空心管浸入水中，从管子另一侧打入</w:t>
            </w:r>
            <w:r>
              <w:rPr>
                <w:color w:val="000000"/>
                <w:sz w:val="18"/>
                <w:szCs w:val="18"/>
              </w:rPr>
              <w:t>80kg</w:t>
            </w:r>
            <w:r>
              <w:rPr>
                <w:rFonts w:hint="eastAsia"/>
                <w:color w:val="000000"/>
                <w:sz w:val="18"/>
                <w:szCs w:val="18"/>
              </w:rPr>
              <w:t>气压的保气试验，观察是否有气泡从水中渗出，应</w:t>
            </w:r>
            <w:r>
              <w:rPr>
                <w:color w:val="000000"/>
                <w:sz w:val="18"/>
                <w:szCs w:val="18"/>
              </w:rPr>
              <w:t>15</w:t>
            </w:r>
            <w:r>
              <w:rPr>
                <w:rFonts w:hint="eastAsia"/>
                <w:color w:val="000000"/>
                <w:sz w:val="18"/>
                <w:szCs w:val="18"/>
              </w:rPr>
              <w:t>分钟无泄漏；</w:t>
            </w:r>
            <w:r>
              <w:rPr>
                <w:color w:val="000000"/>
                <w:sz w:val="18"/>
                <w:szCs w:val="18"/>
              </w:rPr>
              <w:t>供应商需提供</w:t>
            </w:r>
            <w:r>
              <w:rPr>
                <w:rFonts w:hint="eastAsia"/>
                <w:color w:val="000000"/>
                <w:sz w:val="18"/>
                <w:szCs w:val="18"/>
              </w:rPr>
              <w:t>防水胶带</w:t>
            </w:r>
            <w:r>
              <w:rPr>
                <w:color w:val="000000"/>
                <w:sz w:val="18"/>
                <w:szCs w:val="18"/>
              </w:rPr>
              <w:t>的性能试验报告。</w:t>
            </w:r>
          </w:p>
          <w:p>
            <w:pPr>
              <w:spacing w:line="360" w:lineRule="auto"/>
              <w:rPr>
                <w:color w:val="000000"/>
                <w:sz w:val="18"/>
                <w:szCs w:val="18"/>
              </w:rPr>
            </w:pPr>
            <w:r>
              <w:rPr>
                <w:rFonts w:hint="eastAsia"/>
                <w:color w:val="000000"/>
                <w:sz w:val="18"/>
                <w:szCs w:val="18"/>
              </w:rPr>
              <w:t>9）连接金具：导体连接金具应符合</w:t>
            </w:r>
            <w:r>
              <w:rPr>
                <w:color w:val="000000"/>
                <w:sz w:val="18"/>
                <w:szCs w:val="18"/>
              </w:rPr>
              <w:t>GB/T 14315</w:t>
            </w:r>
            <w:r>
              <w:rPr>
                <w:rFonts w:hint="eastAsia"/>
                <w:color w:val="000000"/>
                <w:sz w:val="18"/>
                <w:szCs w:val="18"/>
              </w:rPr>
              <w:t>中的相应规定，铜铝过渡连接管的直流电阻应不大于相同长度、相同截面铝导体直流电阻的</w:t>
            </w:r>
            <w:r>
              <w:rPr>
                <w:color w:val="000000"/>
                <w:sz w:val="18"/>
                <w:szCs w:val="18"/>
              </w:rPr>
              <w:t>1.2</w:t>
            </w:r>
            <w:r>
              <w:rPr>
                <w:rFonts w:hint="eastAsia"/>
                <w:color w:val="000000"/>
                <w:sz w:val="18"/>
                <w:szCs w:val="18"/>
              </w:rPr>
              <w:t>倍。</w:t>
            </w:r>
          </w:p>
          <w:p>
            <w:pPr>
              <w:jc w:val="left"/>
              <w:rPr>
                <w:sz w:val="18"/>
                <w:szCs w:val="18"/>
              </w:rPr>
            </w:pP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生产工艺及对应控制措施</w:t>
            </w:r>
          </w:p>
        </w:tc>
        <w:tc>
          <w:tcPr>
            <w:tcW w:w="1490" w:type="dxa"/>
            <w:shd w:val="clear" w:color="auto" w:fill="auto"/>
            <w:vAlign w:val="center"/>
          </w:tcPr>
          <w:p>
            <w:pPr>
              <w:jc w:val="center"/>
              <w:rPr>
                <w:sz w:val="18"/>
                <w:szCs w:val="18"/>
              </w:rPr>
            </w:pPr>
            <w:r>
              <w:rPr>
                <w:rFonts w:hint="eastAsia"/>
                <w:sz w:val="18"/>
                <w:szCs w:val="18"/>
              </w:rPr>
              <w:t>工艺和技术文件名称、设计图纸及起止页码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color w:val="000000"/>
                <w:sz w:val="18"/>
                <w:szCs w:val="18"/>
              </w:rPr>
              <w:t>恒力弹簧质量证明、支撑芯绳老化试验报告、绝缘混合剂</w:t>
            </w:r>
            <w:r>
              <w:rPr>
                <w:color w:val="000000"/>
                <w:sz w:val="18"/>
                <w:szCs w:val="18"/>
              </w:rPr>
              <w:t>的性能试验报告</w:t>
            </w:r>
            <w:r>
              <w:rPr>
                <w:rFonts w:hint="eastAsia"/>
                <w:color w:val="000000"/>
                <w:sz w:val="18"/>
                <w:szCs w:val="18"/>
              </w:rPr>
              <w:t>、绝缘自粘胶带</w:t>
            </w:r>
            <w:r>
              <w:rPr>
                <w:color w:val="000000"/>
                <w:sz w:val="18"/>
                <w:szCs w:val="18"/>
              </w:rPr>
              <w:t>的性能试验报告</w:t>
            </w:r>
            <w:r>
              <w:rPr>
                <w:rFonts w:hint="eastAsia"/>
                <w:color w:val="000000"/>
                <w:sz w:val="18"/>
                <w:szCs w:val="18"/>
              </w:rPr>
              <w:t>、防水胶带</w:t>
            </w:r>
            <w:r>
              <w:rPr>
                <w:color w:val="000000"/>
                <w:sz w:val="18"/>
                <w:szCs w:val="18"/>
              </w:rPr>
              <w:t>的性能试验报告</w:t>
            </w:r>
            <w:r>
              <w:rPr>
                <w:rFonts w:hint="eastAsia"/>
                <w:color w:val="000000"/>
                <w:sz w:val="18"/>
                <w:szCs w:val="18"/>
              </w:rPr>
              <w:t>、</w:t>
            </w:r>
            <w:r>
              <w:rPr>
                <w:color w:val="000000"/>
                <w:sz w:val="18"/>
                <w:szCs w:val="18"/>
              </w:rPr>
              <w:t>装甲带的性能试验报告</w:t>
            </w:r>
            <w:r>
              <w:rPr>
                <w:rFonts w:hint="eastAsia"/>
                <w:color w:val="000000"/>
                <w:sz w:val="18"/>
                <w:szCs w:val="18"/>
              </w:rPr>
              <w:t>、树脂浇注</w:t>
            </w:r>
            <w:r>
              <w:rPr>
                <w:color w:val="000000"/>
                <w:sz w:val="18"/>
                <w:szCs w:val="18"/>
              </w:rPr>
              <w:t>的防水性能和机械强度的性能试验报告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w:t>
            </w:r>
          </w:p>
        </w:tc>
        <w:tc>
          <w:tcPr>
            <w:tcW w:w="6234" w:type="dxa"/>
            <w:shd w:val="clear" w:color="auto" w:fill="auto"/>
            <w:vAlign w:val="center"/>
          </w:tcPr>
          <w:p>
            <w:pPr>
              <w:rPr>
                <w:sz w:val="18"/>
                <w:szCs w:val="18"/>
              </w:rPr>
            </w:pPr>
            <w:r>
              <w:rPr>
                <w:rFonts w:hint="eastAsia"/>
                <w:sz w:val="18"/>
                <w:szCs w:val="18"/>
              </w:rPr>
              <w:t>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6.1</w:t>
            </w:r>
          </w:p>
        </w:tc>
        <w:tc>
          <w:tcPr>
            <w:tcW w:w="6234" w:type="dxa"/>
            <w:shd w:val="clear" w:color="auto" w:fill="auto"/>
            <w:vAlign w:val="center"/>
          </w:tcPr>
          <w:p>
            <w:pPr>
              <w:rPr>
                <w:sz w:val="18"/>
                <w:szCs w:val="18"/>
              </w:rPr>
            </w:pPr>
            <w:r>
              <w:rPr>
                <w:rFonts w:hint="eastAsia"/>
                <w:sz w:val="18"/>
                <w:szCs w:val="18"/>
              </w:rPr>
              <w:t>试验条件</w:t>
            </w:r>
          </w:p>
          <w:p>
            <w:pPr>
              <w:rPr>
                <w:sz w:val="18"/>
                <w:szCs w:val="18"/>
              </w:rPr>
            </w:pPr>
            <w:r>
              <w:rPr>
                <w:rFonts w:hint="eastAsia"/>
                <w:sz w:val="18"/>
                <w:szCs w:val="18"/>
              </w:rPr>
              <w:t>详见表1和表2</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6.2.1</w:t>
            </w:r>
          </w:p>
        </w:tc>
        <w:tc>
          <w:tcPr>
            <w:tcW w:w="6234" w:type="dxa"/>
            <w:shd w:val="clear" w:color="auto" w:fill="auto"/>
            <w:vAlign w:val="center"/>
          </w:tcPr>
          <w:p>
            <w:pPr>
              <w:widowControl/>
              <w:spacing w:before="120" w:after="120"/>
              <w:jc w:val="left"/>
              <w:outlineLvl w:val="2"/>
              <w:rPr>
                <w:rFonts w:hAnsi="Arial" w:eastAsia="黑体" w:cs="宋体"/>
                <w:kern w:val="0"/>
                <w:sz w:val="18"/>
                <w:szCs w:val="18"/>
              </w:rPr>
            </w:pPr>
            <w:r>
              <w:rPr>
                <w:rFonts w:hint="eastAsia" w:ascii="黑体" w:hAnsi="黑体" w:eastAsia="黑体" w:cs="宋体"/>
                <w:kern w:val="0"/>
                <w:sz w:val="18"/>
                <w:szCs w:val="18"/>
              </w:rPr>
              <w:t>交流耐压试验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autoSpaceDE w:val="0"/>
              <w:autoSpaceDN w:val="0"/>
              <w:adjustRightInd w:val="0"/>
              <w:spacing w:line="360" w:lineRule="auto"/>
              <w:jc w:val="left"/>
              <w:rPr>
                <w:rFonts w:ascii="Calibri" w:hAnsi="Calibri"/>
                <w:kern w:val="0"/>
                <w:sz w:val="18"/>
                <w:szCs w:val="18"/>
              </w:rPr>
            </w:pPr>
            <w:r>
              <w:rPr>
                <w:rFonts w:hint="eastAsia" w:ascii="Calibri" w:hAnsi="Calibri"/>
                <w:kern w:val="0"/>
                <w:sz w:val="18"/>
                <w:szCs w:val="18"/>
              </w:rPr>
              <w:t>干态试验</w:t>
            </w:r>
          </w:p>
          <w:p>
            <w:pPr>
              <w:spacing w:line="360" w:lineRule="auto"/>
              <w:ind w:firstLine="360" w:firstLineChars="200"/>
              <w:rPr>
                <w:color w:val="000000"/>
                <w:sz w:val="18"/>
                <w:szCs w:val="18"/>
              </w:rPr>
            </w:pPr>
            <w:r>
              <w:rPr>
                <w:rFonts w:hint="eastAsia"/>
                <w:color w:val="000000"/>
                <w:sz w:val="18"/>
                <w:szCs w:val="18"/>
              </w:rPr>
              <w:t>附件组件应与所有相关的金属制件和配件一起装配。施加试验电压前附件应保持清洁和干燥。除非另有规定，试验应在环境温度下进行，应按</w:t>
            </w:r>
            <w:r>
              <w:rPr>
                <w:color w:val="000000"/>
                <w:sz w:val="18"/>
                <w:szCs w:val="18"/>
              </w:rPr>
              <w:t>GB/T 16927.1-2013</w:t>
            </w:r>
            <w:r>
              <w:rPr>
                <w:rFonts w:hint="eastAsia"/>
                <w:color w:val="000000"/>
                <w:sz w:val="18"/>
                <w:szCs w:val="18"/>
              </w:rPr>
              <w:t>第</w:t>
            </w:r>
            <w:r>
              <w:rPr>
                <w:color w:val="000000"/>
                <w:sz w:val="18"/>
                <w:szCs w:val="18"/>
              </w:rPr>
              <w:t xml:space="preserve"> 6</w:t>
            </w:r>
            <w:r>
              <w:rPr>
                <w:rFonts w:hint="eastAsia"/>
                <w:color w:val="000000"/>
                <w:sz w:val="18"/>
                <w:szCs w:val="18"/>
              </w:rPr>
              <w:t>章规定的程序施加电压</w:t>
            </w:r>
            <w:r>
              <w:rPr>
                <w:color w:val="000000"/>
                <w:sz w:val="18"/>
                <w:szCs w:val="18"/>
              </w:rPr>
              <w:t>。</w:t>
            </w:r>
          </w:p>
          <w:p>
            <w:pPr>
              <w:autoSpaceDE w:val="0"/>
              <w:autoSpaceDN w:val="0"/>
              <w:adjustRightInd w:val="0"/>
              <w:spacing w:line="360" w:lineRule="auto"/>
              <w:jc w:val="left"/>
              <w:rPr>
                <w:rFonts w:ascii="Calibri" w:hAnsi="Calibri"/>
                <w:kern w:val="0"/>
                <w:sz w:val="18"/>
                <w:szCs w:val="18"/>
              </w:rPr>
            </w:pPr>
            <w:r>
              <w:rPr>
                <w:rFonts w:hint="eastAsia" w:ascii="Calibri" w:hAnsi="Calibri"/>
                <w:kern w:val="0"/>
                <w:sz w:val="18"/>
                <w:szCs w:val="18"/>
              </w:rPr>
              <w:t>湿态试验</w:t>
            </w:r>
          </w:p>
          <w:p>
            <w:pPr>
              <w:spacing w:line="360" w:lineRule="auto"/>
              <w:ind w:firstLine="360" w:firstLineChars="200"/>
              <w:rPr>
                <w:sz w:val="18"/>
                <w:szCs w:val="18"/>
              </w:rPr>
            </w:pPr>
            <w:r>
              <w:rPr>
                <w:rFonts w:hint="eastAsia"/>
                <w:color w:val="000000"/>
                <w:sz w:val="18"/>
                <w:szCs w:val="18"/>
              </w:rPr>
              <w:t>除按运行状态和制造方说明书特定的安装方位和相对间距外，应将终端安装在垂直位置，湿态试验应如</w:t>
            </w:r>
            <w:r>
              <w:rPr>
                <w:color w:val="000000"/>
                <w:sz w:val="18"/>
                <w:szCs w:val="18"/>
              </w:rPr>
              <w:t>GB/T 16927.1 -2013</w:t>
            </w:r>
            <w:r>
              <w:rPr>
                <w:rFonts w:hint="eastAsia"/>
                <w:color w:val="000000"/>
                <w:sz w:val="18"/>
                <w:szCs w:val="18"/>
              </w:rPr>
              <w:t>所述，并在环境温度下进行。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6.2.2</w:t>
            </w:r>
          </w:p>
        </w:tc>
        <w:tc>
          <w:tcPr>
            <w:tcW w:w="6234" w:type="dxa"/>
            <w:shd w:val="clear" w:color="auto" w:fill="auto"/>
            <w:vAlign w:val="center"/>
          </w:tcPr>
          <w:p>
            <w:pPr>
              <w:spacing w:line="360" w:lineRule="auto"/>
              <w:rPr>
                <w:color w:val="000000"/>
                <w:sz w:val="18"/>
                <w:szCs w:val="18"/>
              </w:rPr>
            </w:pPr>
            <w:r>
              <w:rPr>
                <w:rFonts w:hint="eastAsia" w:ascii="黑体" w:hAnsi="黑体"/>
                <w:sz w:val="18"/>
                <w:szCs w:val="18"/>
              </w:rPr>
              <w:t>直流耐压试验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rPr>
                <w:sz w:val="18"/>
                <w:szCs w:val="18"/>
              </w:rPr>
            </w:pPr>
            <w:r>
              <w:rPr>
                <w:rFonts w:hint="eastAsia"/>
                <w:color w:val="000000"/>
                <w:sz w:val="18"/>
                <w:szCs w:val="18"/>
              </w:rPr>
              <w:t>附件组件应与所有相关的金属制件和配件一起装配。施加试验电压前附件应保持清洁和于燥。应对电缆导体施加负极性电压，试验应在环境温度下进行，应按</w:t>
            </w:r>
            <w:r>
              <w:rPr>
                <w:color w:val="000000"/>
                <w:sz w:val="18"/>
                <w:szCs w:val="18"/>
              </w:rPr>
              <w:t xml:space="preserve">GB/T 16927.1-2013 </w:t>
            </w:r>
            <w:r>
              <w:rPr>
                <w:rFonts w:hint="eastAsia"/>
                <w:color w:val="000000"/>
                <w:sz w:val="18"/>
                <w:szCs w:val="18"/>
              </w:rPr>
              <w:t>规定的程序施加电压。</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6.2.3</w:t>
            </w:r>
          </w:p>
        </w:tc>
        <w:tc>
          <w:tcPr>
            <w:tcW w:w="6234" w:type="dxa"/>
            <w:shd w:val="clear" w:color="auto" w:fill="auto"/>
            <w:vAlign w:val="center"/>
          </w:tcPr>
          <w:p>
            <w:pPr>
              <w:rPr>
                <w:color w:val="000000"/>
                <w:sz w:val="18"/>
                <w:szCs w:val="18"/>
              </w:rPr>
            </w:pPr>
            <w:r>
              <w:rPr>
                <w:rFonts w:hint="eastAsia" w:ascii="黑体" w:hAnsi="黑体"/>
                <w:sz w:val="18"/>
                <w:szCs w:val="18"/>
              </w:rPr>
              <w:t>冲击电压试验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rPr>
                <w:sz w:val="18"/>
                <w:szCs w:val="18"/>
              </w:rPr>
            </w:pPr>
            <w:r>
              <w:rPr>
                <w:rFonts w:hint="eastAsia"/>
                <w:sz w:val="18"/>
                <w:szCs w:val="18"/>
              </w:rPr>
              <w:t xml:space="preserve"> </w:t>
            </w:r>
            <w:r>
              <w:rPr>
                <w:rFonts w:hint="eastAsia"/>
                <w:color w:val="000000"/>
                <w:sz w:val="18"/>
                <w:szCs w:val="18"/>
              </w:rPr>
              <w:t>应参照相关标准进行包括金属罩壳和终端盒的试验安装的准备，对于三相电缆的附件</w:t>
            </w:r>
            <w:r>
              <w:rPr>
                <w:color w:val="000000"/>
                <w:sz w:val="18"/>
                <w:szCs w:val="18"/>
              </w:rPr>
              <w:t>(</w:t>
            </w:r>
            <w:r>
              <w:rPr>
                <w:rFonts w:hint="eastAsia"/>
                <w:color w:val="000000"/>
                <w:sz w:val="18"/>
                <w:szCs w:val="18"/>
              </w:rPr>
              <w:t>例如在一个金属罩壳内有三个单芯终端</w:t>
            </w:r>
            <w:r>
              <w:rPr>
                <w:color w:val="000000"/>
                <w:sz w:val="18"/>
                <w:szCs w:val="18"/>
              </w:rPr>
              <w:t>)</w:t>
            </w:r>
            <w:r>
              <w:rPr>
                <w:rFonts w:hint="eastAsia"/>
                <w:color w:val="000000"/>
                <w:sz w:val="18"/>
                <w:szCs w:val="18"/>
              </w:rPr>
              <w:t>，一次试验一相，其他两相接地。应按</w:t>
            </w:r>
            <w:r>
              <w:rPr>
                <w:color w:val="000000"/>
                <w:sz w:val="18"/>
                <w:szCs w:val="18"/>
              </w:rPr>
              <w:t>GB/T 3048.13</w:t>
            </w:r>
            <w:r>
              <w:rPr>
                <w:rFonts w:hint="eastAsia"/>
                <w:color w:val="000000"/>
                <w:sz w:val="18"/>
                <w:szCs w:val="18"/>
              </w:rPr>
              <w:t>进行试验。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6.2.4</w:t>
            </w:r>
          </w:p>
        </w:tc>
        <w:tc>
          <w:tcPr>
            <w:tcW w:w="6234" w:type="dxa"/>
            <w:shd w:val="clear" w:color="auto" w:fill="auto"/>
            <w:vAlign w:val="center"/>
          </w:tcPr>
          <w:p>
            <w:pPr>
              <w:rPr>
                <w:sz w:val="18"/>
                <w:szCs w:val="18"/>
              </w:rPr>
            </w:pPr>
            <w:r>
              <w:rPr>
                <w:rFonts w:hint="eastAsia" w:ascii="黑体" w:hAnsi="黑体"/>
                <w:sz w:val="18"/>
                <w:szCs w:val="18"/>
              </w:rPr>
              <w:t>局部放电试验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rPr>
                <w:sz w:val="18"/>
                <w:szCs w:val="18"/>
              </w:rPr>
            </w:pPr>
            <w:r>
              <w:rPr>
                <w:rFonts w:hint="eastAsia"/>
                <w:color w:val="000000"/>
                <w:sz w:val="18"/>
                <w:szCs w:val="18"/>
              </w:rPr>
              <w:t>应按</w:t>
            </w:r>
            <w:r>
              <w:rPr>
                <w:color w:val="000000"/>
                <w:sz w:val="18"/>
                <w:szCs w:val="18"/>
              </w:rPr>
              <w:t xml:space="preserve"> GB/T 7354</w:t>
            </w:r>
            <w:r>
              <w:rPr>
                <w:rFonts w:hint="eastAsia"/>
                <w:color w:val="000000"/>
                <w:sz w:val="18"/>
                <w:szCs w:val="18"/>
              </w:rPr>
              <w:t>和</w:t>
            </w:r>
            <w:r>
              <w:rPr>
                <w:color w:val="000000"/>
                <w:sz w:val="18"/>
                <w:szCs w:val="18"/>
              </w:rPr>
              <w:t>IEC 60885-2</w:t>
            </w:r>
            <w:r>
              <w:rPr>
                <w:rFonts w:hint="eastAsia"/>
                <w:color w:val="000000"/>
                <w:sz w:val="18"/>
                <w:szCs w:val="18"/>
              </w:rPr>
              <w:t>的规定进行本项试验，在相关标准给定的试验电压下测量局部放电。</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6.2.5</w:t>
            </w:r>
          </w:p>
        </w:tc>
        <w:tc>
          <w:tcPr>
            <w:tcW w:w="6234" w:type="dxa"/>
            <w:shd w:val="clear" w:color="auto" w:fill="auto"/>
            <w:vAlign w:val="center"/>
          </w:tcPr>
          <w:p>
            <w:pPr>
              <w:rPr>
                <w:color w:val="000000"/>
                <w:sz w:val="18"/>
                <w:szCs w:val="18"/>
              </w:rPr>
            </w:pPr>
            <w:r>
              <w:rPr>
                <w:rFonts w:hint="eastAsia" w:ascii="黑体" w:hAnsi="黑体"/>
                <w:sz w:val="18"/>
                <w:szCs w:val="18"/>
              </w:rPr>
              <w:t>热循环试验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spacing w:line="360" w:lineRule="auto"/>
              <w:ind w:firstLine="360" w:firstLineChars="200"/>
              <w:rPr>
                <w:color w:val="000000"/>
                <w:sz w:val="18"/>
                <w:szCs w:val="18"/>
              </w:rPr>
            </w:pPr>
            <w:r>
              <w:rPr>
                <w:rFonts w:hint="eastAsia"/>
                <w:color w:val="000000"/>
                <w:sz w:val="18"/>
                <w:szCs w:val="18"/>
              </w:rPr>
              <w:t>在空气中或水中的试验布置应如</w:t>
            </w:r>
            <w:r>
              <w:rPr>
                <w:color w:val="000000"/>
                <w:sz w:val="18"/>
                <w:szCs w:val="18"/>
              </w:rPr>
              <w:t>GB/T 18889-2002</w:t>
            </w:r>
            <w:r>
              <w:rPr>
                <w:rFonts w:hint="eastAsia"/>
                <w:color w:val="000000"/>
                <w:sz w:val="18"/>
                <w:szCs w:val="18"/>
              </w:rPr>
              <w:t>第</w:t>
            </w:r>
            <w:r>
              <w:rPr>
                <w:color w:val="000000"/>
                <w:sz w:val="18"/>
                <w:szCs w:val="18"/>
              </w:rPr>
              <w:t>8</w:t>
            </w:r>
            <w:r>
              <w:rPr>
                <w:rFonts w:hint="eastAsia"/>
                <w:color w:val="000000"/>
                <w:sz w:val="18"/>
                <w:szCs w:val="18"/>
              </w:rPr>
              <w:t>章规定。将在水中作热循环试验的接头或可分离连接器安放在水箱中</w:t>
            </w:r>
            <w:r>
              <w:rPr>
                <w:color w:val="000000"/>
                <w:sz w:val="18"/>
                <w:szCs w:val="18"/>
              </w:rPr>
              <w:t>。</w:t>
            </w:r>
            <w:r>
              <w:rPr>
                <w:rFonts w:hint="eastAsia"/>
                <w:color w:val="000000"/>
                <w:sz w:val="18"/>
                <w:szCs w:val="18"/>
              </w:rPr>
              <w:t>应使水面高出所有被试附件</w:t>
            </w:r>
            <w:r>
              <w:rPr>
                <w:color w:val="000000"/>
                <w:sz w:val="18"/>
                <w:szCs w:val="18"/>
              </w:rPr>
              <w:t>1m，</w:t>
            </w:r>
            <w:r>
              <w:rPr>
                <w:rFonts w:hint="eastAsia"/>
                <w:color w:val="000000"/>
                <w:sz w:val="18"/>
                <w:szCs w:val="18"/>
              </w:rPr>
              <w:t>水温应为环境温度。对带密闭的金属外壳，并搪铅或焊接到电缆金属护套</w:t>
            </w:r>
            <w:r>
              <w:rPr>
                <w:color w:val="000000"/>
                <w:sz w:val="18"/>
                <w:szCs w:val="18"/>
              </w:rPr>
              <w:t>上</w:t>
            </w:r>
            <w:r>
              <w:rPr>
                <w:rFonts w:hint="eastAsia"/>
                <w:color w:val="000000"/>
                <w:sz w:val="18"/>
                <w:szCs w:val="18"/>
              </w:rPr>
              <w:t>的接头，不必作浸水试验。</w:t>
            </w:r>
          </w:p>
          <w:p>
            <w:pPr>
              <w:spacing w:line="360" w:lineRule="auto"/>
              <w:ind w:firstLine="360" w:firstLineChars="200"/>
              <w:rPr>
                <w:color w:val="000000"/>
                <w:sz w:val="18"/>
                <w:szCs w:val="18"/>
              </w:rPr>
            </w:pPr>
            <w:r>
              <w:rPr>
                <w:rFonts w:hint="eastAsia"/>
                <w:color w:val="000000"/>
                <w:sz w:val="18"/>
                <w:szCs w:val="18"/>
              </w:rPr>
              <w:t>应按</w:t>
            </w:r>
            <w:r>
              <w:rPr>
                <w:color w:val="000000"/>
                <w:sz w:val="18"/>
                <w:szCs w:val="18"/>
              </w:rPr>
              <w:t>GB/T 18889-2002</w:t>
            </w:r>
            <w:r>
              <w:rPr>
                <w:rFonts w:hint="eastAsia"/>
                <w:color w:val="000000"/>
                <w:sz w:val="18"/>
                <w:szCs w:val="18"/>
              </w:rPr>
              <w:t>第</w:t>
            </w:r>
            <w:r>
              <w:rPr>
                <w:color w:val="000000"/>
                <w:sz w:val="18"/>
                <w:szCs w:val="18"/>
              </w:rPr>
              <w:t>8</w:t>
            </w:r>
            <w:r>
              <w:rPr>
                <w:rFonts w:hint="eastAsia"/>
                <w:color w:val="000000"/>
                <w:sz w:val="18"/>
                <w:szCs w:val="18"/>
              </w:rPr>
              <w:t>章规定测量温度在空气中或水中进行的每个热循环，时间应为</w:t>
            </w:r>
            <w:r>
              <w:rPr>
                <w:color w:val="000000"/>
                <w:sz w:val="18"/>
                <w:szCs w:val="18"/>
              </w:rPr>
              <w:t>8</w:t>
            </w:r>
            <w:r>
              <w:rPr>
                <w:rFonts w:hint="eastAsia"/>
                <w:color w:val="000000"/>
                <w:sz w:val="18"/>
                <w:szCs w:val="18"/>
              </w:rPr>
              <w:t>小时，并在下列温度下至少稳定</w:t>
            </w:r>
            <w:r>
              <w:rPr>
                <w:color w:val="000000"/>
                <w:sz w:val="18"/>
                <w:szCs w:val="18"/>
              </w:rPr>
              <w:t>2h，</w:t>
            </w:r>
            <w:r>
              <w:rPr>
                <w:rFonts w:hint="eastAsia"/>
                <w:color w:val="000000"/>
                <w:sz w:val="18"/>
                <w:szCs w:val="18"/>
              </w:rPr>
              <w:t>对于挤包绝缘电缆，为电缆正常运行时导体最高温度以上</w:t>
            </w:r>
            <w:r>
              <w:rPr>
                <w:color w:val="000000"/>
                <w:sz w:val="18"/>
                <w:szCs w:val="18"/>
              </w:rPr>
              <w:t>(5~10°0)</w:t>
            </w:r>
            <w:r>
              <w:rPr>
                <w:rFonts w:hint="eastAsia"/>
                <w:color w:val="000000"/>
                <w:sz w:val="18"/>
                <w:szCs w:val="18"/>
              </w:rPr>
              <w:t>；对于纸绝缘电缆，为电缆正常运行时导休最高温度以上</w:t>
            </w:r>
            <w:r>
              <w:rPr>
                <w:color w:val="000000"/>
                <w:sz w:val="18"/>
                <w:szCs w:val="18"/>
              </w:rPr>
              <w:t>(0~5于纸)</w:t>
            </w:r>
            <w:r>
              <w:rPr>
                <w:rFonts w:hint="eastAsia"/>
                <w:color w:val="000000"/>
                <w:sz w:val="18"/>
                <w:szCs w:val="18"/>
              </w:rPr>
              <w:t>。然后自然冷却</w:t>
            </w:r>
            <w:r>
              <w:rPr>
                <w:color w:val="000000"/>
                <w:sz w:val="18"/>
                <w:szCs w:val="18"/>
              </w:rPr>
              <w:t>至</w:t>
            </w:r>
            <w:r>
              <w:rPr>
                <w:rFonts w:hint="eastAsia"/>
                <w:color w:val="000000"/>
                <w:sz w:val="18"/>
                <w:szCs w:val="18"/>
              </w:rPr>
              <w:t>少</w:t>
            </w:r>
            <w:r>
              <w:rPr>
                <w:color w:val="000000"/>
                <w:sz w:val="18"/>
                <w:szCs w:val="18"/>
              </w:rPr>
              <w:t>3h</w:t>
            </w:r>
            <w:r>
              <w:rPr>
                <w:rFonts w:hint="eastAsia"/>
                <w:color w:val="000000"/>
                <w:sz w:val="18"/>
                <w:szCs w:val="18"/>
              </w:rPr>
              <w:t>至与环境温度相差不超过</w:t>
            </w:r>
            <w:r>
              <w:rPr>
                <w:color w:val="000000"/>
                <w:sz w:val="18"/>
                <w:szCs w:val="18"/>
              </w:rPr>
              <w:t>10环境</w:t>
            </w:r>
            <w:r>
              <w:rPr>
                <w:rFonts w:hint="eastAsia"/>
                <w:color w:val="000000"/>
                <w:sz w:val="18"/>
                <w:szCs w:val="18"/>
              </w:rPr>
              <w:t>。</w:t>
            </w:r>
          </w:p>
          <w:p>
            <w:pPr>
              <w:rPr>
                <w:sz w:val="18"/>
                <w:szCs w:val="18"/>
              </w:rPr>
            </w:pPr>
            <w:r>
              <w:rPr>
                <w:rFonts w:hint="eastAsia"/>
                <w:color w:val="000000"/>
                <w:sz w:val="18"/>
                <w:szCs w:val="18"/>
              </w:rPr>
              <w:t>组合试样应经受相应标准中给定的规定次数热循环，并施加规定的电压。</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6.2.6</w:t>
            </w:r>
          </w:p>
        </w:tc>
        <w:tc>
          <w:tcPr>
            <w:tcW w:w="6234" w:type="dxa"/>
            <w:shd w:val="clear" w:color="auto" w:fill="auto"/>
            <w:vAlign w:val="center"/>
          </w:tcPr>
          <w:p>
            <w:pPr>
              <w:rPr>
                <w:color w:val="000000"/>
                <w:sz w:val="18"/>
                <w:szCs w:val="18"/>
              </w:rPr>
            </w:pPr>
            <w:r>
              <w:rPr>
                <w:rFonts w:hint="eastAsia" w:ascii="黑体" w:hAnsi="黑体"/>
                <w:sz w:val="18"/>
                <w:szCs w:val="18"/>
              </w:rPr>
              <w:t>短路热稳定试验</w:t>
            </w:r>
            <w:r>
              <w:rPr>
                <w:rFonts w:ascii="黑体" w:hAnsi="黑体"/>
                <w:sz w:val="18"/>
                <w:szCs w:val="18"/>
              </w:rPr>
              <w:t>(</w:t>
            </w:r>
            <w:r>
              <w:rPr>
                <w:rFonts w:hint="eastAsia" w:ascii="黑体" w:hAnsi="黑体"/>
                <w:sz w:val="18"/>
                <w:szCs w:val="18"/>
              </w:rPr>
              <w:t>屏蔽</w:t>
            </w:r>
            <w:r>
              <w:rPr>
                <w:rFonts w:ascii="黑体" w:hAnsi="黑体"/>
                <w:sz w:val="18"/>
                <w:szCs w:val="18"/>
              </w:rPr>
              <w:t>)</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spacing w:line="360" w:lineRule="auto"/>
              <w:ind w:firstLine="360" w:firstLineChars="200"/>
              <w:rPr>
                <w:color w:val="000000"/>
                <w:sz w:val="18"/>
                <w:szCs w:val="18"/>
              </w:rPr>
            </w:pPr>
            <w:r>
              <w:rPr>
                <w:rFonts w:hint="eastAsia"/>
                <w:color w:val="000000"/>
                <w:sz w:val="18"/>
                <w:szCs w:val="18"/>
              </w:rPr>
              <w:t>试验回路两端屏蔽连线应与地断开，并连接到</w:t>
            </w:r>
            <w:r>
              <w:rPr>
                <w:color w:val="000000"/>
                <w:sz w:val="18"/>
                <w:szCs w:val="18"/>
              </w:rPr>
              <w:t>短</w:t>
            </w:r>
            <w:r>
              <w:rPr>
                <w:rFonts w:hint="eastAsia"/>
                <w:color w:val="000000"/>
                <w:sz w:val="18"/>
                <w:szCs w:val="18"/>
              </w:rPr>
              <w:t>路发生器上。应由制造</w:t>
            </w:r>
            <w:r>
              <w:rPr>
                <w:color w:val="000000"/>
                <w:sz w:val="18"/>
                <w:szCs w:val="18"/>
              </w:rPr>
              <w:t>方</w:t>
            </w:r>
            <w:r>
              <w:rPr>
                <w:rFonts w:hint="eastAsia"/>
                <w:color w:val="000000"/>
                <w:sz w:val="18"/>
                <w:szCs w:val="18"/>
              </w:rPr>
              <w:t>一与用户商定按电网的实际短路条件而确定试验电流和持续时间。</w:t>
            </w:r>
          </w:p>
          <w:p>
            <w:pPr>
              <w:spacing w:line="360" w:lineRule="auto"/>
              <w:ind w:firstLine="360" w:firstLineChars="200"/>
              <w:rPr>
                <w:color w:val="000000"/>
                <w:sz w:val="18"/>
                <w:szCs w:val="18"/>
              </w:rPr>
            </w:pPr>
            <w:r>
              <w:rPr>
                <w:rFonts w:hint="eastAsia"/>
                <w:color w:val="000000"/>
                <w:sz w:val="18"/>
                <w:szCs w:val="18"/>
              </w:rPr>
              <w:t>附件安装和温度测量在</w:t>
            </w:r>
            <w:r>
              <w:rPr>
                <w:color w:val="000000"/>
                <w:sz w:val="18"/>
                <w:szCs w:val="18"/>
              </w:rPr>
              <w:t>GB/T 18889</w:t>
            </w:r>
            <w:r>
              <w:rPr>
                <w:rFonts w:hint="eastAsia"/>
                <w:color w:val="000000"/>
                <w:sz w:val="18"/>
                <w:szCs w:val="18"/>
              </w:rPr>
              <w:t>第</w:t>
            </w:r>
            <w:r>
              <w:rPr>
                <w:color w:val="000000"/>
                <w:sz w:val="18"/>
                <w:szCs w:val="18"/>
              </w:rPr>
              <w:t>8</w:t>
            </w:r>
            <w:r>
              <w:rPr>
                <w:rFonts w:hint="eastAsia"/>
                <w:color w:val="000000"/>
                <w:sz w:val="18"/>
                <w:szCs w:val="18"/>
              </w:rPr>
              <w:t>章中给定，短路试验之前，应对电缆导体加热并在</w:t>
            </w:r>
            <w:r>
              <w:rPr>
                <w:color w:val="000000"/>
                <w:sz w:val="18"/>
                <w:szCs w:val="18"/>
              </w:rPr>
              <w:t>上</w:t>
            </w:r>
            <w:r>
              <w:rPr>
                <w:rFonts w:hint="eastAsia"/>
                <w:color w:val="000000"/>
                <w:sz w:val="18"/>
                <w:szCs w:val="18"/>
              </w:rPr>
              <w:t>述温度下至少稳定</w:t>
            </w:r>
            <w:r>
              <w:rPr>
                <w:color w:val="000000"/>
                <w:sz w:val="18"/>
                <w:szCs w:val="18"/>
              </w:rPr>
              <w:t>2h</w:t>
            </w:r>
            <w:r>
              <w:rPr>
                <w:rFonts w:hint="eastAsia"/>
                <w:color w:val="000000"/>
                <w:sz w:val="18"/>
                <w:szCs w:val="18"/>
              </w:rPr>
              <w:t>。对于挤包绝缘电缆，为电缆正常运行时导体最高温度以上</w:t>
            </w:r>
            <w:r>
              <w:rPr>
                <w:color w:val="000000"/>
                <w:sz w:val="18"/>
                <w:szCs w:val="18"/>
              </w:rPr>
              <w:t>(5~10°0</w:t>
            </w:r>
            <w:r>
              <w:rPr>
                <w:rFonts w:hint="eastAsia"/>
                <w:color w:val="000000"/>
                <w:sz w:val="18"/>
                <w:szCs w:val="18"/>
              </w:rPr>
              <w:t>）</w:t>
            </w:r>
            <w:r>
              <w:rPr>
                <w:color w:val="000000"/>
                <w:sz w:val="18"/>
                <w:szCs w:val="18"/>
              </w:rPr>
              <w:t>。</w:t>
            </w:r>
          </w:p>
          <w:p>
            <w:pPr>
              <w:spacing w:line="360" w:lineRule="auto"/>
              <w:ind w:firstLine="360" w:firstLineChars="200"/>
              <w:rPr>
                <w:color w:val="000000"/>
                <w:sz w:val="18"/>
                <w:szCs w:val="18"/>
              </w:rPr>
            </w:pPr>
            <w:r>
              <w:rPr>
                <w:rFonts w:hint="eastAsia"/>
                <w:color w:val="000000"/>
                <w:sz w:val="18"/>
                <w:szCs w:val="18"/>
              </w:rPr>
              <w:t>对于纸绝缘电缆，为电缆正常运行时导体最高温度以上</w:t>
            </w:r>
            <w:r>
              <w:rPr>
                <w:color w:val="000000"/>
                <w:sz w:val="18"/>
                <w:szCs w:val="18"/>
              </w:rPr>
              <w:t>(0~5°0)</w:t>
            </w:r>
            <w:r>
              <w:rPr>
                <w:rFonts w:hint="eastAsia"/>
                <w:color w:val="000000"/>
                <w:sz w:val="18"/>
                <w:szCs w:val="18"/>
              </w:rPr>
              <w:t>。</w:t>
            </w:r>
          </w:p>
          <w:p>
            <w:pPr>
              <w:spacing w:line="360" w:lineRule="auto"/>
              <w:ind w:firstLine="360" w:firstLineChars="200"/>
              <w:rPr>
                <w:sz w:val="18"/>
                <w:szCs w:val="18"/>
              </w:rPr>
            </w:pPr>
            <w:r>
              <w:rPr>
                <w:rFonts w:hint="eastAsia"/>
                <w:color w:val="000000"/>
                <w:sz w:val="18"/>
                <w:szCs w:val="18"/>
              </w:rPr>
              <w:t>在进行</w:t>
            </w:r>
            <w:r>
              <w:rPr>
                <w:color w:val="000000"/>
                <w:sz w:val="18"/>
                <w:szCs w:val="18"/>
              </w:rPr>
              <w:t>短</w:t>
            </w:r>
            <w:r>
              <w:rPr>
                <w:rFonts w:hint="eastAsia"/>
                <w:color w:val="000000"/>
                <w:sz w:val="18"/>
                <w:szCs w:val="18"/>
              </w:rPr>
              <w:t>路试验前后，应采用热电偶或任何其他合适的方法测量屏蔽层温度</w:t>
            </w:r>
            <w:r>
              <w:rPr>
                <w:color w:val="000000"/>
                <w:sz w:val="18"/>
                <w:szCs w:val="18"/>
              </w:rPr>
              <w:t>。</w:t>
            </w:r>
            <w:r>
              <w:rPr>
                <w:rFonts w:hint="eastAsia"/>
                <w:color w:val="000000"/>
                <w:sz w:val="18"/>
                <w:szCs w:val="18"/>
              </w:rPr>
              <w:t>应按商定的试验电流和持续时间在屏蔽层</w:t>
            </w:r>
            <w:r>
              <w:rPr>
                <w:color w:val="000000"/>
                <w:sz w:val="18"/>
                <w:szCs w:val="18"/>
              </w:rPr>
              <w:t>上</w:t>
            </w:r>
            <w:r>
              <w:rPr>
                <w:rFonts w:hint="eastAsia"/>
                <w:color w:val="000000"/>
                <w:sz w:val="18"/>
                <w:szCs w:val="18"/>
              </w:rPr>
              <w:t>进行两次短路试验，应允许两次短路之问电缆屏蔽层温度冷却至不超过第</w:t>
            </w:r>
            <w:r>
              <w:rPr>
                <w:color w:val="000000"/>
                <w:sz w:val="18"/>
                <w:szCs w:val="18"/>
              </w:rPr>
              <w:t>一</w:t>
            </w:r>
            <w:r>
              <w:rPr>
                <w:rFonts w:hint="eastAsia"/>
                <w:color w:val="000000"/>
                <w:sz w:val="18"/>
                <w:szCs w:val="18"/>
              </w:rPr>
              <w:t>次短路前温度</w:t>
            </w:r>
            <w:r>
              <w:rPr>
                <w:color w:val="000000"/>
                <w:sz w:val="18"/>
                <w:szCs w:val="18"/>
              </w:rPr>
              <w:t>10°0</w:t>
            </w:r>
            <w:r>
              <w:rPr>
                <w:rFonts w:hint="eastAsia"/>
                <w:color w:val="000000"/>
                <w:sz w:val="18"/>
                <w:szCs w:val="18"/>
              </w:rPr>
              <w:t>。</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6.2.7</w:t>
            </w:r>
          </w:p>
        </w:tc>
        <w:tc>
          <w:tcPr>
            <w:tcW w:w="6234" w:type="dxa"/>
            <w:shd w:val="clear" w:color="auto" w:fill="auto"/>
            <w:vAlign w:val="center"/>
          </w:tcPr>
          <w:p>
            <w:pPr>
              <w:spacing w:line="360" w:lineRule="auto"/>
              <w:ind w:firstLine="360" w:firstLineChars="200"/>
              <w:rPr>
                <w:color w:val="000000"/>
                <w:sz w:val="18"/>
                <w:szCs w:val="18"/>
              </w:rPr>
            </w:pPr>
            <w:r>
              <w:rPr>
                <w:rFonts w:hint="eastAsia" w:ascii="黑体" w:hAnsi="黑体"/>
                <w:sz w:val="18"/>
                <w:szCs w:val="18"/>
              </w:rPr>
              <w:t>短路热稳定试验</w:t>
            </w:r>
            <w:r>
              <w:rPr>
                <w:rFonts w:ascii="黑体" w:hAnsi="黑体"/>
                <w:sz w:val="18"/>
                <w:szCs w:val="18"/>
              </w:rPr>
              <w:t>(</w:t>
            </w:r>
            <w:r>
              <w:rPr>
                <w:rFonts w:hint="eastAsia" w:ascii="黑体" w:hAnsi="黑体"/>
                <w:sz w:val="18"/>
                <w:szCs w:val="18"/>
              </w:rPr>
              <w:t>导体</w:t>
            </w:r>
            <w:r>
              <w:rPr>
                <w:rFonts w:ascii="黑体" w:hAnsi="黑体"/>
                <w:sz w:val="18"/>
                <w:szCs w:val="18"/>
              </w:rPr>
              <w:t>)</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spacing w:line="360" w:lineRule="auto"/>
              <w:ind w:firstLine="360" w:firstLineChars="200"/>
              <w:rPr>
                <w:color w:val="000000"/>
                <w:sz w:val="18"/>
                <w:szCs w:val="18"/>
              </w:rPr>
            </w:pPr>
            <w:r>
              <w:rPr>
                <w:rFonts w:hint="eastAsia"/>
                <w:color w:val="000000"/>
                <w:sz w:val="18"/>
                <w:szCs w:val="18"/>
              </w:rPr>
              <w:t>将电缆回路的一端与短路发生器相连接，另一端接到短路排上进行试验，也可选用另一种方法，将三个线芯串联起来</w:t>
            </w:r>
            <w:r>
              <w:rPr>
                <w:color w:val="000000"/>
                <w:sz w:val="18"/>
                <w:szCs w:val="18"/>
              </w:rPr>
              <w:t>.</w:t>
            </w:r>
            <w:r>
              <w:rPr>
                <w:rFonts w:hint="eastAsia"/>
                <w:color w:val="000000"/>
                <w:sz w:val="18"/>
                <w:szCs w:val="18"/>
              </w:rPr>
              <w:t>如同单芯附件一样试验。应用交流或直流电流将导体温度升到电缆最高允许短路温度</w:t>
            </w:r>
            <w:r>
              <w:rPr>
                <w:color w:val="000000"/>
                <w:sz w:val="18"/>
                <w:szCs w:val="18"/>
              </w:rPr>
              <w:t>(</w:t>
            </w:r>
            <w:r>
              <w:rPr>
                <w:rFonts w:hint="eastAsia"/>
                <w:color w:val="000000"/>
                <w:sz w:val="18"/>
                <w:szCs w:val="18"/>
              </w:rPr>
              <w:t>氏</w:t>
            </w:r>
            <w:r>
              <w:rPr>
                <w:color w:val="000000"/>
                <w:sz w:val="18"/>
                <w:szCs w:val="18"/>
              </w:rPr>
              <w:t>)</w:t>
            </w:r>
            <w:r>
              <w:rPr>
                <w:rFonts w:hint="eastAsia"/>
                <w:color w:val="000000"/>
                <w:sz w:val="18"/>
                <w:szCs w:val="18"/>
              </w:rPr>
              <w:t>时间不超过</w:t>
            </w:r>
            <w:r>
              <w:rPr>
                <w:color w:val="000000"/>
                <w:sz w:val="18"/>
                <w:szCs w:val="18"/>
              </w:rPr>
              <w:t>5s</w:t>
            </w:r>
            <w:r>
              <w:rPr>
                <w:rFonts w:hint="eastAsia"/>
                <w:color w:val="000000"/>
                <w:sz w:val="18"/>
                <w:szCs w:val="18"/>
              </w:rPr>
              <w:t>。短路两次，允许两次短路之间试验回路冷却到超过试验开始时导体温度</w:t>
            </w:r>
            <w:r>
              <w:rPr>
                <w:color w:val="000000"/>
                <w:sz w:val="18"/>
                <w:szCs w:val="18"/>
              </w:rPr>
              <w:t>(5~10度路冷</w:t>
            </w:r>
            <w:r>
              <w:rPr>
                <w:rFonts w:hint="eastAsia"/>
                <w:color w:val="000000"/>
                <w:sz w:val="18"/>
                <w:szCs w:val="18"/>
              </w:rPr>
              <w:t>。</w:t>
            </w:r>
          </w:p>
          <w:p>
            <w:pPr>
              <w:rPr>
                <w:sz w:val="18"/>
                <w:szCs w:val="18"/>
              </w:rPr>
            </w:pP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6.2.8</w:t>
            </w:r>
          </w:p>
        </w:tc>
        <w:tc>
          <w:tcPr>
            <w:tcW w:w="6234" w:type="dxa"/>
            <w:shd w:val="clear" w:color="auto" w:fill="auto"/>
            <w:vAlign w:val="center"/>
          </w:tcPr>
          <w:p>
            <w:pPr>
              <w:rPr>
                <w:sz w:val="18"/>
                <w:szCs w:val="18"/>
              </w:rPr>
            </w:pPr>
            <w:r>
              <w:rPr>
                <w:rFonts w:hint="eastAsia" w:ascii="黑体" w:hAnsi="黑体"/>
                <w:sz w:val="18"/>
                <w:szCs w:val="18"/>
              </w:rPr>
              <w:t>短路动稳定试验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adjustRightInd w:val="0"/>
              <w:spacing w:line="360" w:lineRule="auto"/>
              <w:ind w:firstLine="360" w:firstLineChars="200"/>
              <w:rPr>
                <w:color w:val="000000"/>
                <w:sz w:val="18"/>
                <w:szCs w:val="18"/>
              </w:rPr>
            </w:pPr>
            <w:r>
              <w:rPr>
                <w:rFonts w:hint="eastAsia"/>
                <w:color w:val="000000"/>
                <w:sz w:val="18"/>
                <w:szCs w:val="18"/>
              </w:rPr>
              <w:t>试验回路应由三根单芯电缆或一根三芯电缆与附件组成。试验电缆回路的一端应与短路发生器相连接，另一端应接到短路排上。对于终端、可分离连接器和接头，电缆与附件的固定方法及附件之间的间隔应按制造方推荐确定，单芯电缆接头应按三角形排列进行试验</w:t>
            </w:r>
            <w:r>
              <w:rPr>
                <w:color w:val="000000"/>
                <w:sz w:val="18"/>
                <w:szCs w:val="18"/>
              </w:rPr>
              <w:t>。</w:t>
            </w:r>
          </w:p>
          <w:p>
            <w:pPr>
              <w:adjustRightInd w:val="0"/>
              <w:spacing w:line="360" w:lineRule="auto"/>
              <w:ind w:firstLine="360" w:firstLineChars="200"/>
              <w:rPr>
                <w:color w:val="000000"/>
                <w:sz w:val="18"/>
                <w:szCs w:val="18"/>
              </w:rPr>
            </w:pPr>
            <w:r>
              <w:rPr>
                <w:rFonts w:hint="eastAsia"/>
                <w:color w:val="000000"/>
                <w:sz w:val="18"/>
                <w:szCs w:val="18"/>
              </w:rPr>
              <w:t>应按下列规定以合适的时间和电流值施加短路电流：</w:t>
            </w:r>
          </w:p>
          <w:p>
            <w:pPr>
              <w:adjustRightInd w:val="0"/>
              <w:spacing w:line="360" w:lineRule="auto"/>
              <w:ind w:firstLine="360" w:firstLineChars="200"/>
              <w:rPr>
                <w:color w:val="000000"/>
                <w:sz w:val="18"/>
                <w:szCs w:val="18"/>
              </w:rPr>
            </w:pPr>
            <w:r>
              <w:rPr>
                <w:rFonts w:hint="eastAsia"/>
                <w:color w:val="000000"/>
                <w:sz w:val="18"/>
                <w:szCs w:val="18"/>
              </w:rPr>
              <w:t>短路电流</w:t>
            </w:r>
            <w:r>
              <w:rPr>
                <w:color w:val="000000"/>
                <w:sz w:val="18"/>
                <w:szCs w:val="18"/>
              </w:rPr>
              <w:t>:</w:t>
            </w:r>
            <w:r>
              <w:rPr>
                <w:sz w:val="18"/>
                <w:szCs w:val="18"/>
              </w:rPr>
              <w:t>I</w:t>
            </w:r>
            <w:r>
              <w:rPr>
                <w:sz w:val="18"/>
                <w:szCs w:val="18"/>
                <w:vertAlign w:val="subscript"/>
              </w:rPr>
              <w:t>d</w:t>
            </w:r>
            <w:r>
              <w:rPr>
                <w:color w:val="000000"/>
                <w:sz w:val="18"/>
                <w:szCs w:val="18"/>
              </w:rPr>
              <w:t>=2.5 ×I（I为6.2.7中短路时间1s时计算得出的短路电流值）</w:t>
            </w:r>
            <w:r>
              <w:rPr>
                <w:rFonts w:hint="eastAsia"/>
                <w:color w:val="000000"/>
                <w:sz w:val="18"/>
                <w:szCs w:val="18"/>
              </w:rPr>
              <w:t>，持续时间至少</w:t>
            </w:r>
            <w:r>
              <w:rPr>
                <w:color w:val="000000"/>
                <w:sz w:val="18"/>
                <w:szCs w:val="18"/>
              </w:rPr>
              <w:t>10ms</w:t>
            </w:r>
            <w:r>
              <w:rPr>
                <w:rFonts w:hint="eastAsia"/>
                <w:color w:val="000000"/>
                <w:sz w:val="18"/>
                <w:szCs w:val="18"/>
              </w:rPr>
              <w:t>。记录波形。</w:t>
            </w:r>
          </w:p>
          <w:p>
            <w:pPr>
              <w:rPr>
                <w:sz w:val="18"/>
                <w:szCs w:val="18"/>
              </w:rPr>
            </w:pP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6.2.9</w:t>
            </w:r>
          </w:p>
        </w:tc>
        <w:tc>
          <w:tcPr>
            <w:tcW w:w="6234" w:type="dxa"/>
            <w:shd w:val="clear" w:color="auto" w:fill="auto"/>
            <w:vAlign w:val="center"/>
          </w:tcPr>
          <w:p>
            <w:pPr>
              <w:rPr>
                <w:sz w:val="18"/>
                <w:szCs w:val="18"/>
              </w:rPr>
            </w:pPr>
            <w:r>
              <w:rPr>
                <w:rFonts w:hint="eastAsia" w:ascii="黑体" w:hAnsi="黑体"/>
                <w:sz w:val="18"/>
                <w:szCs w:val="18"/>
              </w:rPr>
              <w:t>潮湿试验和盐雾试验</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adjustRightInd w:val="0"/>
              <w:spacing w:line="360" w:lineRule="auto"/>
              <w:ind w:firstLine="360" w:firstLineChars="200"/>
              <w:rPr>
                <w:color w:val="000000"/>
                <w:sz w:val="18"/>
                <w:szCs w:val="18"/>
              </w:rPr>
            </w:pPr>
            <w:r>
              <w:rPr>
                <w:rFonts w:hint="eastAsia"/>
                <w:color w:val="000000"/>
                <w:sz w:val="18"/>
                <w:szCs w:val="18"/>
              </w:rPr>
              <w:t>采用单相或三相交流电压源。试验中在泄漏电流为</w:t>
            </w:r>
            <w:r>
              <w:rPr>
                <w:color w:val="000000"/>
                <w:sz w:val="18"/>
                <w:szCs w:val="18"/>
              </w:rPr>
              <w:t>250mA</w:t>
            </w:r>
            <w:r>
              <w:rPr>
                <w:rFonts w:hint="eastAsia"/>
                <w:color w:val="000000"/>
                <w:sz w:val="18"/>
                <w:szCs w:val="18"/>
              </w:rPr>
              <w:t>时</w:t>
            </w:r>
            <w:r>
              <w:rPr>
                <w:color w:val="000000"/>
                <w:sz w:val="18"/>
                <w:szCs w:val="18"/>
              </w:rPr>
              <w:t>，</w:t>
            </w:r>
            <w:r>
              <w:rPr>
                <w:rFonts w:hint="eastAsia"/>
                <w:color w:val="000000"/>
                <w:sz w:val="18"/>
                <w:szCs w:val="18"/>
              </w:rPr>
              <w:t>电源高压侧的最大电压降应小于</w:t>
            </w:r>
            <w:r>
              <w:rPr>
                <w:color w:val="000000"/>
                <w:sz w:val="18"/>
                <w:szCs w:val="18"/>
              </w:rPr>
              <w:t>5%</w:t>
            </w:r>
            <w:r>
              <w:rPr>
                <w:rFonts w:hint="eastAsia"/>
                <w:color w:val="000000"/>
                <w:sz w:val="18"/>
                <w:szCs w:val="18"/>
              </w:rPr>
              <w:t>。</w:t>
            </w:r>
          </w:p>
          <w:p>
            <w:pPr>
              <w:adjustRightInd w:val="0"/>
              <w:spacing w:line="360" w:lineRule="auto"/>
              <w:ind w:firstLine="360" w:firstLineChars="200"/>
              <w:rPr>
                <w:color w:val="000000"/>
                <w:sz w:val="18"/>
                <w:szCs w:val="18"/>
              </w:rPr>
            </w:pPr>
            <w:r>
              <w:rPr>
                <w:rFonts w:hint="eastAsia"/>
                <w:color w:val="000000"/>
                <w:sz w:val="18"/>
                <w:szCs w:val="18"/>
              </w:rPr>
              <w:t>潮湿试验室应装备喷雾嘴或其他可排出雾化水的加湿器</w:t>
            </w:r>
            <w:r>
              <w:rPr>
                <w:color w:val="000000"/>
                <w:sz w:val="18"/>
                <w:szCs w:val="18"/>
              </w:rPr>
              <w:t>。</w:t>
            </w:r>
            <w:r>
              <w:rPr>
                <w:rFonts w:hint="eastAsia"/>
                <w:color w:val="000000"/>
                <w:sz w:val="18"/>
                <w:szCs w:val="18"/>
              </w:rPr>
              <w:t>喷雾速率为</w:t>
            </w:r>
            <w:r>
              <w:rPr>
                <w:color w:val="000000"/>
                <w:sz w:val="18"/>
                <w:szCs w:val="18"/>
              </w:rPr>
              <w:t>(0.4+0.1)I/(</w:t>
            </w:r>
            <w:r>
              <w:rPr>
                <w:sz w:val="18"/>
                <w:szCs w:val="18"/>
              </w:rPr>
              <w:t>hm</w:t>
            </w:r>
            <w:r>
              <w:rPr>
                <w:sz w:val="18"/>
                <w:szCs w:val="18"/>
                <w:vertAlign w:val="superscript"/>
              </w:rPr>
              <w:t>3</w:t>
            </w:r>
            <w:r>
              <w:rPr>
                <w:sz w:val="18"/>
                <w:szCs w:val="18"/>
              </w:rPr>
              <w:t>)</w:t>
            </w:r>
            <w:r>
              <w:rPr>
                <w:rFonts w:hint="eastAsia"/>
                <w:sz w:val="18"/>
                <w:szCs w:val="18"/>
              </w:rPr>
              <w:t>，</w:t>
            </w:r>
            <w:r>
              <w:rPr>
                <w:rFonts w:hint="eastAsia"/>
                <w:color w:val="000000"/>
                <w:sz w:val="18"/>
                <w:szCs w:val="18"/>
              </w:rPr>
              <w:t>整个试验期间雾水的电导率，对于潮湿试验应为</w:t>
            </w:r>
            <w:r>
              <w:rPr>
                <w:color w:val="000000"/>
                <w:sz w:val="18"/>
                <w:szCs w:val="18"/>
              </w:rPr>
              <w:t>(70</w:t>
            </w:r>
            <w:r>
              <w:rPr>
                <w:rFonts w:hint="eastAsia"/>
                <w:color w:val="000000"/>
                <w:sz w:val="18"/>
                <w:szCs w:val="18"/>
              </w:rPr>
              <w:t>士</w:t>
            </w:r>
            <w:r>
              <w:rPr>
                <w:color w:val="000000"/>
                <w:sz w:val="18"/>
                <w:szCs w:val="18"/>
              </w:rPr>
              <w:t>10)mS/m</w:t>
            </w:r>
            <w:r>
              <w:rPr>
                <w:rFonts w:hint="eastAsia"/>
                <w:color w:val="000000"/>
                <w:sz w:val="18"/>
                <w:szCs w:val="18"/>
              </w:rPr>
              <w:t>，而对于盐雾试验应为</w:t>
            </w:r>
            <w:r>
              <w:rPr>
                <w:color w:val="000000"/>
                <w:sz w:val="18"/>
                <w:szCs w:val="18"/>
              </w:rPr>
              <w:t>(1600+200)mS/m</w:t>
            </w:r>
            <w:r>
              <w:rPr>
                <w:rFonts w:hint="eastAsia"/>
                <w:color w:val="000000"/>
                <w:sz w:val="18"/>
                <w:szCs w:val="18"/>
              </w:rPr>
              <w:t>。</w:t>
            </w:r>
          </w:p>
          <w:p>
            <w:pPr>
              <w:adjustRightInd w:val="0"/>
              <w:spacing w:line="360" w:lineRule="auto"/>
              <w:ind w:firstLine="360" w:firstLineChars="200"/>
              <w:rPr>
                <w:color w:val="000000"/>
                <w:sz w:val="18"/>
                <w:szCs w:val="18"/>
              </w:rPr>
            </w:pPr>
            <w:r>
              <w:rPr>
                <w:rFonts w:hint="eastAsia"/>
                <w:color w:val="000000"/>
                <w:sz w:val="18"/>
                <w:szCs w:val="18"/>
              </w:rPr>
              <w:t>试验室应能满足在试验期间没有水直接滴落到附件上的要求</w:t>
            </w:r>
            <w:r>
              <w:rPr>
                <w:color w:val="000000"/>
                <w:sz w:val="18"/>
                <w:szCs w:val="18"/>
              </w:rPr>
              <w:t>。</w:t>
            </w:r>
          </w:p>
          <w:p>
            <w:pPr>
              <w:adjustRightInd w:val="0"/>
              <w:spacing w:line="360" w:lineRule="auto"/>
              <w:ind w:firstLine="360" w:firstLineChars="200"/>
              <w:rPr>
                <w:color w:val="000000"/>
                <w:sz w:val="18"/>
                <w:szCs w:val="18"/>
              </w:rPr>
            </w:pPr>
            <w:r>
              <w:rPr>
                <w:rFonts w:hint="eastAsia"/>
                <w:color w:val="000000"/>
                <w:sz w:val="18"/>
                <w:szCs w:val="18"/>
              </w:rPr>
              <w:t>按照制造方的说明书，并以与运行状态下附件相同的安装方向和相对间距将试验附件安装在潮湿试验室内。三个非蔽可分离连接器或几个护罩式终端应安装在试验终端盒内，且经受三相电压试验。三芯电缆终端也应经受三相电压试验。</w:t>
            </w:r>
          </w:p>
          <w:p>
            <w:pPr>
              <w:adjustRightInd w:val="0"/>
              <w:spacing w:line="360" w:lineRule="auto"/>
              <w:ind w:firstLine="360" w:firstLineChars="200"/>
              <w:rPr>
                <w:color w:val="000000"/>
                <w:sz w:val="18"/>
                <w:szCs w:val="18"/>
              </w:rPr>
            </w:pPr>
            <w:r>
              <w:rPr>
                <w:rFonts w:hint="eastAsia"/>
                <w:color w:val="000000"/>
                <w:sz w:val="18"/>
                <w:szCs w:val="18"/>
              </w:rPr>
              <w:t>应采用连接到测量电源电流的自动断路器来保护变压器的各相，没定当流过高</w:t>
            </w:r>
            <w:r>
              <w:rPr>
                <w:color w:val="000000"/>
                <w:sz w:val="18"/>
                <w:szCs w:val="18"/>
              </w:rPr>
              <w:t>压</w:t>
            </w:r>
            <w:r>
              <w:rPr>
                <w:rFonts w:hint="eastAsia"/>
                <w:color w:val="000000"/>
                <w:sz w:val="18"/>
                <w:szCs w:val="18"/>
              </w:rPr>
              <w:t>侧的瞬时电流达</w:t>
            </w:r>
            <w:r>
              <w:rPr>
                <w:color w:val="000000"/>
                <w:sz w:val="18"/>
                <w:szCs w:val="18"/>
              </w:rPr>
              <w:t>(1.0+0.1</w:t>
            </w:r>
            <w:r>
              <w:rPr>
                <w:rFonts w:hint="eastAsia"/>
                <w:color w:val="000000"/>
                <w:sz w:val="18"/>
                <w:szCs w:val="18"/>
              </w:rPr>
              <w:t>）</w:t>
            </w:r>
            <w:r>
              <w:rPr>
                <w:color w:val="000000"/>
                <w:sz w:val="18"/>
                <w:szCs w:val="18"/>
              </w:rPr>
              <w:t>A</w:t>
            </w:r>
            <w:r>
              <w:rPr>
                <w:rFonts w:hint="eastAsia"/>
                <w:color w:val="000000"/>
                <w:sz w:val="18"/>
                <w:szCs w:val="18"/>
              </w:rPr>
              <w:t>时，在</w:t>
            </w:r>
            <w:r>
              <w:rPr>
                <w:color w:val="000000"/>
                <w:sz w:val="18"/>
                <w:szCs w:val="18"/>
              </w:rPr>
              <w:t>50 ms-250 m</w:t>
            </w:r>
            <w:r>
              <w:rPr>
                <w:rFonts w:hint="eastAsia"/>
                <w:color w:val="000000"/>
                <w:sz w:val="18"/>
                <w:szCs w:val="18"/>
              </w:rPr>
              <w:t>时间内令电路断开。</w:t>
            </w:r>
          </w:p>
          <w:p>
            <w:pPr>
              <w:adjustRightInd w:val="0"/>
              <w:spacing w:line="360" w:lineRule="auto"/>
              <w:ind w:firstLine="360" w:firstLineChars="200"/>
              <w:rPr>
                <w:color w:val="000000"/>
                <w:sz w:val="18"/>
                <w:szCs w:val="18"/>
              </w:rPr>
            </w:pPr>
            <w:r>
              <w:rPr>
                <w:rFonts w:hint="eastAsia"/>
                <w:color w:val="000000"/>
                <w:sz w:val="18"/>
                <w:szCs w:val="18"/>
              </w:rPr>
              <w:t>试验期间，潮湿试验室内温度应为环境温度，时间和电压值应在相应标准中给定，允许试验中断时间不超过试验时间的</w:t>
            </w:r>
            <w:r>
              <w:rPr>
                <w:color w:val="000000"/>
                <w:sz w:val="18"/>
                <w:szCs w:val="18"/>
              </w:rPr>
              <w:t>5%</w:t>
            </w:r>
            <w:r>
              <w:rPr>
                <w:rFonts w:hint="eastAsia"/>
                <w:color w:val="000000"/>
                <w:sz w:val="18"/>
                <w:szCs w:val="18"/>
              </w:rPr>
              <w:t>，在试验期间不允许清洗附件或进行任何其他类似的干扰，试验开始前和完成试验以后，至少应在两个相反的方向摄下被试附件的彩色照片</w:t>
            </w:r>
            <w:r>
              <w:rPr>
                <w:color w:val="000000"/>
                <w:sz w:val="18"/>
                <w:szCs w:val="18"/>
              </w:rPr>
              <w:t>，</w:t>
            </w:r>
            <w:r>
              <w:rPr>
                <w:rFonts w:hint="eastAsia"/>
                <w:color w:val="000000"/>
                <w:sz w:val="18"/>
                <w:szCs w:val="18"/>
              </w:rPr>
              <w:t>照片应清晰地展示泄漏途径的状况。</w:t>
            </w:r>
          </w:p>
          <w:p>
            <w:pPr>
              <w:adjustRightInd w:val="0"/>
              <w:spacing w:line="360" w:lineRule="auto"/>
              <w:ind w:firstLine="360" w:firstLineChars="200"/>
              <w:rPr>
                <w:sz w:val="18"/>
                <w:szCs w:val="18"/>
              </w:rPr>
            </w:pPr>
            <w:r>
              <w:rPr>
                <w:rFonts w:hint="eastAsia"/>
                <w:color w:val="000000"/>
                <w:sz w:val="18"/>
                <w:szCs w:val="18"/>
              </w:rPr>
              <w:t>试验结束后应注明试样的状况。试验结果应记录发生的任何闪络、附件状态的描述和照片</w:t>
            </w:r>
            <w:r>
              <w:rPr>
                <w:color w:val="000000"/>
                <w:sz w:val="18"/>
                <w:szCs w:val="18"/>
              </w:rPr>
              <w:t>，</w:t>
            </w:r>
            <w:r>
              <w:rPr>
                <w:rFonts w:hint="eastAsia"/>
                <w:color w:val="000000"/>
                <w:sz w:val="18"/>
                <w:szCs w:val="18"/>
              </w:rPr>
              <w:t>尤其是仟何电痕、电蚀或机械损伤。</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6.2.10</w:t>
            </w:r>
          </w:p>
        </w:tc>
        <w:tc>
          <w:tcPr>
            <w:tcW w:w="6234" w:type="dxa"/>
            <w:shd w:val="clear" w:color="auto" w:fill="auto"/>
            <w:vAlign w:val="center"/>
          </w:tcPr>
          <w:p>
            <w:pPr>
              <w:rPr>
                <w:color w:val="000000"/>
                <w:sz w:val="18"/>
                <w:szCs w:val="18"/>
              </w:rPr>
            </w:pPr>
            <w:r>
              <w:rPr>
                <w:rFonts w:ascii="黑体" w:hAnsi="黑体"/>
                <w:sz w:val="18"/>
                <w:szCs w:val="18"/>
              </w:rPr>
              <w:t>振荡波法局放试验（参考）</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p>
        </w:tc>
        <w:tc>
          <w:tcPr>
            <w:tcW w:w="6234" w:type="dxa"/>
            <w:shd w:val="clear" w:color="auto" w:fill="auto"/>
            <w:vAlign w:val="center"/>
          </w:tcPr>
          <w:p>
            <w:pPr>
              <w:spacing w:line="360" w:lineRule="auto"/>
              <w:ind w:firstLine="360" w:firstLineChars="200"/>
              <w:rPr>
                <w:color w:val="000000"/>
                <w:sz w:val="18"/>
                <w:szCs w:val="18"/>
              </w:rPr>
            </w:pPr>
            <w:r>
              <w:rPr>
                <w:color w:val="000000"/>
                <w:sz w:val="18"/>
                <w:szCs w:val="18"/>
              </w:rPr>
              <w:t>1）试验项目</w:t>
            </w:r>
          </w:p>
          <w:p>
            <w:pPr>
              <w:adjustRightInd w:val="0"/>
              <w:spacing w:line="360" w:lineRule="auto"/>
              <w:ind w:firstLine="360" w:firstLineChars="200"/>
              <w:rPr>
                <w:color w:val="000000"/>
                <w:sz w:val="18"/>
                <w:szCs w:val="18"/>
              </w:rPr>
            </w:pPr>
            <w:r>
              <w:rPr>
                <w:color w:val="000000"/>
                <w:sz w:val="18"/>
                <w:szCs w:val="18"/>
              </w:rPr>
              <w:t>10kV交联聚乙烯电缆交接、预防性试验可以采用振荡波局放测试试验。</w:t>
            </w:r>
          </w:p>
          <w:p>
            <w:pPr>
              <w:spacing w:line="360" w:lineRule="auto"/>
              <w:ind w:firstLine="360" w:firstLineChars="200"/>
              <w:rPr>
                <w:color w:val="000000"/>
                <w:sz w:val="18"/>
                <w:szCs w:val="18"/>
              </w:rPr>
            </w:pPr>
            <w:r>
              <w:rPr>
                <w:color w:val="000000"/>
                <w:sz w:val="18"/>
                <w:szCs w:val="18"/>
              </w:rPr>
              <w:t>2）试验周期</w:t>
            </w:r>
          </w:p>
          <w:p>
            <w:pPr>
              <w:adjustRightInd w:val="0"/>
              <w:spacing w:line="360" w:lineRule="auto"/>
              <w:ind w:firstLine="360" w:firstLineChars="200"/>
              <w:rPr>
                <w:color w:val="000000"/>
                <w:sz w:val="18"/>
                <w:szCs w:val="18"/>
              </w:rPr>
            </w:pPr>
            <w:r>
              <w:rPr>
                <w:color w:val="000000"/>
                <w:sz w:val="18"/>
                <w:szCs w:val="18"/>
              </w:rPr>
              <w:t>新建或大修后的电缆须在投运后3年内进行一次振荡波测试预防性试验，之后可以考虑每6年进行一次。对存在疑似或同类设备家族性缺陷的电缆，则应根据测试分析结果适当缩短跟踪试验周期。</w:t>
            </w:r>
          </w:p>
          <w:p>
            <w:pPr>
              <w:spacing w:line="360" w:lineRule="auto"/>
              <w:ind w:firstLine="360" w:firstLineChars="200"/>
              <w:rPr>
                <w:color w:val="000000"/>
                <w:sz w:val="18"/>
                <w:szCs w:val="18"/>
              </w:rPr>
            </w:pPr>
            <w:r>
              <w:rPr>
                <w:color w:val="000000"/>
                <w:sz w:val="18"/>
                <w:szCs w:val="18"/>
              </w:rPr>
              <w:t>3）试验范围</w:t>
            </w:r>
          </w:p>
          <w:p>
            <w:pPr>
              <w:adjustRightInd w:val="0"/>
              <w:spacing w:line="360" w:lineRule="auto"/>
              <w:ind w:firstLine="360" w:firstLineChars="200"/>
              <w:rPr>
                <w:color w:val="000000"/>
                <w:sz w:val="18"/>
                <w:szCs w:val="18"/>
              </w:rPr>
            </w:pPr>
            <w:r>
              <w:rPr>
                <w:color w:val="000000"/>
                <w:sz w:val="18"/>
                <w:szCs w:val="18"/>
              </w:rPr>
              <w:t>长度在150m以上（包括150m）的站出线第一段10kV交联聚乙烯电力电缆进行振荡波局放测试交接试验，其余各段以及长度小于150m的站出线第一段10kV交联聚乙烯电力电缆仍采用现场交流耐压试验。在允许的条件下，可推广电缆振荡波在交接试验的应用。</w:t>
            </w:r>
          </w:p>
          <w:p>
            <w:pPr>
              <w:spacing w:line="360" w:lineRule="auto"/>
              <w:ind w:firstLine="360" w:firstLineChars="200"/>
              <w:rPr>
                <w:sz w:val="18"/>
                <w:szCs w:val="18"/>
              </w:rPr>
            </w:pPr>
            <w:r>
              <w:rPr>
                <w:sz w:val="18"/>
                <w:szCs w:val="18"/>
              </w:rPr>
              <w:t>4）试验要求</w:t>
            </w:r>
          </w:p>
          <w:p>
            <w:pPr>
              <w:numPr>
                <w:ilvl w:val="0"/>
                <w:numId w:val="5"/>
              </w:numPr>
              <w:adjustRightInd w:val="0"/>
              <w:spacing w:line="360" w:lineRule="auto"/>
              <w:rPr>
                <w:color w:val="000000"/>
                <w:sz w:val="18"/>
                <w:szCs w:val="18"/>
              </w:rPr>
            </w:pPr>
            <w:r>
              <w:rPr>
                <w:color w:val="000000"/>
                <w:sz w:val="18"/>
                <w:szCs w:val="18"/>
              </w:rPr>
              <w:t>10kV交联聚乙烯电缆振荡波局放检测的最佳试验距离是150-3000m，长度小于150m应采用交流耐压试验，大于 3000m应分别在电缆两端进行局放检测，更长距离应视振荡波在被测电缆中的衰减特性和试验设备的容量选择合理的试验方式。</w:t>
            </w:r>
          </w:p>
          <w:p>
            <w:pPr>
              <w:numPr>
                <w:ilvl w:val="0"/>
                <w:numId w:val="5"/>
              </w:numPr>
              <w:adjustRightInd w:val="0"/>
              <w:spacing w:line="360" w:lineRule="auto"/>
              <w:rPr>
                <w:color w:val="000000"/>
                <w:sz w:val="18"/>
                <w:szCs w:val="18"/>
              </w:rPr>
            </w:pPr>
            <w:r>
              <w:rPr>
                <w:color w:val="000000"/>
                <w:sz w:val="18"/>
                <w:szCs w:val="18"/>
              </w:rPr>
              <w:t>关于试验校准应遵循以下原则：</w:t>
            </w:r>
          </w:p>
          <w:p>
            <w:pPr>
              <w:adjustRightInd w:val="0"/>
              <w:spacing w:line="360" w:lineRule="auto"/>
              <w:ind w:firstLine="360" w:firstLineChars="200"/>
              <w:rPr>
                <w:color w:val="000000"/>
                <w:sz w:val="18"/>
                <w:szCs w:val="18"/>
              </w:rPr>
            </w:pPr>
            <w:r>
              <w:rPr>
                <w:color w:val="000000"/>
                <w:sz w:val="18"/>
                <w:szCs w:val="18"/>
              </w:rPr>
              <w:t>校准量：100PC</w:t>
            </w:r>
            <w:r>
              <w:rPr>
                <w:sz w:val="18"/>
                <w:szCs w:val="18"/>
              </w:rPr>
              <w:t>、</w:t>
            </w:r>
            <w:r>
              <w:rPr>
                <w:color w:val="000000"/>
                <w:sz w:val="18"/>
                <w:szCs w:val="18"/>
              </w:rPr>
              <w:t>200PC、500PC、1nC、2nC、5nC、10nC、20nC、50nC、100nC</w:t>
            </w:r>
          </w:p>
          <w:p>
            <w:pPr>
              <w:adjustRightInd w:val="0"/>
              <w:spacing w:line="360" w:lineRule="auto"/>
              <w:ind w:firstLine="360" w:firstLineChars="200"/>
              <w:rPr>
                <w:color w:val="000000"/>
                <w:sz w:val="18"/>
                <w:szCs w:val="18"/>
              </w:rPr>
            </w:pPr>
            <w:r>
              <w:rPr>
                <w:color w:val="000000"/>
                <w:sz w:val="18"/>
                <w:szCs w:val="18"/>
              </w:rPr>
              <w:t>在校准波形中要能够区分入射波与反射波</w:t>
            </w:r>
          </w:p>
          <w:p>
            <w:pPr>
              <w:adjustRightInd w:val="0"/>
              <w:spacing w:line="360" w:lineRule="auto"/>
              <w:ind w:firstLine="360" w:firstLineChars="200"/>
              <w:rPr>
                <w:color w:val="000000"/>
                <w:sz w:val="18"/>
                <w:szCs w:val="18"/>
              </w:rPr>
            </w:pPr>
            <w:r>
              <w:rPr>
                <w:color w:val="000000"/>
                <w:sz w:val="18"/>
                <w:szCs w:val="18"/>
              </w:rPr>
              <w:t>波速在165-170m/μs范围内</w:t>
            </w:r>
          </w:p>
          <w:p>
            <w:pPr>
              <w:adjustRightInd w:val="0"/>
              <w:spacing w:line="360" w:lineRule="auto"/>
              <w:ind w:firstLine="360" w:firstLineChars="200"/>
              <w:rPr>
                <w:color w:val="000000"/>
                <w:sz w:val="18"/>
                <w:szCs w:val="18"/>
              </w:rPr>
            </w:pPr>
            <w:r>
              <w:rPr>
                <w:color w:val="000000"/>
                <w:sz w:val="18"/>
                <w:szCs w:val="18"/>
              </w:rPr>
              <w:t>三芯电缆校准其中一相即可，单芯电缆每相均须校准</w:t>
            </w:r>
          </w:p>
          <w:p>
            <w:pPr>
              <w:numPr>
                <w:ilvl w:val="0"/>
                <w:numId w:val="5"/>
              </w:numPr>
              <w:adjustRightInd w:val="0"/>
              <w:spacing w:line="360" w:lineRule="auto"/>
              <w:rPr>
                <w:color w:val="000000"/>
                <w:sz w:val="18"/>
                <w:szCs w:val="18"/>
              </w:rPr>
            </w:pPr>
            <w:r>
              <w:rPr>
                <w:color w:val="000000"/>
                <w:sz w:val="18"/>
                <w:szCs w:val="18"/>
              </w:rPr>
              <w:t>在测量时发现电缆终端头等尖端放电干扰时，应采用屏蔽方法隔离其余两相再进行试验</w:t>
            </w:r>
          </w:p>
          <w:p>
            <w:pPr>
              <w:numPr>
                <w:ilvl w:val="0"/>
                <w:numId w:val="5"/>
              </w:numPr>
              <w:adjustRightInd w:val="0"/>
              <w:spacing w:line="360" w:lineRule="auto"/>
              <w:rPr>
                <w:color w:val="000000"/>
                <w:sz w:val="18"/>
                <w:szCs w:val="18"/>
              </w:rPr>
            </w:pPr>
            <w:r>
              <w:rPr>
                <w:color w:val="000000"/>
                <w:sz w:val="18"/>
                <w:szCs w:val="18"/>
              </w:rPr>
              <w:t>新电缆投运时，施加的最高试验电压应为2.0U0。当有集中放电现象发生，且局放量大于100pC时，应对该电缆组织缺陷定位和检修。</w:t>
            </w:r>
          </w:p>
          <w:p>
            <w:pPr>
              <w:numPr>
                <w:ilvl w:val="0"/>
                <w:numId w:val="5"/>
              </w:numPr>
              <w:adjustRightInd w:val="0"/>
              <w:spacing w:line="360" w:lineRule="auto"/>
              <w:rPr>
                <w:color w:val="000000"/>
                <w:sz w:val="18"/>
                <w:szCs w:val="18"/>
              </w:rPr>
            </w:pPr>
            <w:r>
              <w:rPr>
                <w:color w:val="000000"/>
                <w:sz w:val="18"/>
                <w:szCs w:val="18"/>
              </w:rPr>
              <w:t>电缆大修新做中间接头后以及在运电缆进行预防性试验时，施加的最高试验电压应为1.7U0。当有集中放电现象发生，且局放量大于500pC时，应对该 电缆组织缺陷定位和检修。</w:t>
            </w:r>
          </w:p>
          <w:p>
            <w:pPr>
              <w:numPr>
                <w:ilvl w:val="0"/>
                <w:numId w:val="5"/>
              </w:numPr>
              <w:adjustRightInd w:val="0"/>
              <w:spacing w:line="360" w:lineRule="auto"/>
              <w:rPr>
                <w:color w:val="000000"/>
                <w:sz w:val="18"/>
                <w:szCs w:val="18"/>
              </w:rPr>
            </w:pPr>
            <w:r>
              <w:rPr>
                <w:color w:val="000000"/>
                <w:sz w:val="18"/>
                <w:szCs w:val="18"/>
              </w:rPr>
              <w:t>如试验结果出现集中放电现象，但放电量不大于上述第（四）、（五）项的指标时，须进行跟踪测试，测试周期一般为一年一次。当跟踪测试发现放电量明显增长时，应对该电缆组织缺陷定位和检修。</w:t>
            </w:r>
          </w:p>
          <w:p>
            <w:pPr>
              <w:spacing w:line="360" w:lineRule="auto"/>
              <w:ind w:firstLine="360" w:firstLineChars="200"/>
              <w:rPr>
                <w:color w:val="000000"/>
                <w:sz w:val="18"/>
                <w:szCs w:val="18"/>
              </w:rPr>
            </w:pPr>
            <w:r>
              <w:rPr>
                <w:color w:val="000000"/>
                <w:sz w:val="18"/>
                <w:szCs w:val="18"/>
              </w:rPr>
              <w:t>5）局放判断方法</w:t>
            </w:r>
          </w:p>
          <w:p>
            <w:pPr>
              <w:rPr>
                <w:rFonts w:ascii="黑体" w:hAnsi="黑体"/>
                <w:sz w:val="18"/>
                <w:szCs w:val="18"/>
              </w:rPr>
            </w:pPr>
            <w:r>
              <w:rPr>
                <w:color w:val="000000"/>
                <w:sz w:val="18"/>
                <w:szCs w:val="18"/>
              </w:rPr>
              <w:t>确定分析结果是否由电缆局部放电导致，可参考以下几点进行判断：</w:t>
            </w:r>
            <w:r>
              <w:rPr>
                <w:sz w:val="18"/>
                <w:szCs w:val="18"/>
              </w:rPr>
              <w:fldChar w:fldCharType="begin"/>
            </w:r>
            <w:r>
              <w:rPr>
                <w:sz w:val="18"/>
                <w:szCs w:val="18"/>
              </w:rPr>
              <w:instrText xml:space="preserve"> = 1 \* GB3 </w:instrText>
            </w:r>
            <w:r>
              <w:rPr>
                <w:sz w:val="18"/>
                <w:szCs w:val="18"/>
              </w:rPr>
              <w:fldChar w:fldCharType="separate"/>
            </w:r>
            <w:r>
              <w:rPr>
                <w:rFonts w:hint="eastAsia" w:hAnsi="宋体" w:cs="宋体"/>
                <w:sz w:val="18"/>
                <w:szCs w:val="18"/>
              </w:rPr>
              <w:t>①</w:t>
            </w:r>
            <w:r>
              <w:rPr>
                <w:sz w:val="18"/>
                <w:szCs w:val="18"/>
              </w:rPr>
              <w:fldChar w:fldCharType="end"/>
            </w:r>
            <w:r>
              <w:rPr>
                <w:sz w:val="18"/>
                <w:szCs w:val="18"/>
              </w:rPr>
              <w:t>放电幅值和次数随着电</w:t>
            </w:r>
            <w:r>
              <w:rPr>
                <w:color w:val="000000"/>
                <w:sz w:val="18"/>
                <w:szCs w:val="18"/>
              </w:rPr>
              <w:t>压的升高而增加；</w:t>
            </w:r>
            <w:r>
              <w:rPr>
                <w:sz w:val="18"/>
                <w:szCs w:val="18"/>
              </w:rPr>
              <w:fldChar w:fldCharType="begin"/>
            </w:r>
            <w:r>
              <w:rPr>
                <w:sz w:val="18"/>
                <w:szCs w:val="18"/>
              </w:rPr>
              <w:instrText xml:space="preserve"> = 2 \* GB3 </w:instrText>
            </w:r>
            <w:r>
              <w:rPr>
                <w:sz w:val="18"/>
                <w:szCs w:val="18"/>
              </w:rPr>
              <w:fldChar w:fldCharType="separate"/>
            </w:r>
            <w:r>
              <w:rPr>
                <w:rFonts w:hint="eastAsia" w:hAnsi="宋体" w:cs="宋体"/>
                <w:sz w:val="18"/>
                <w:szCs w:val="18"/>
              </w:rPr>
              <w:t>②</w:t>
            </w:r>
            <w:r>
              <w:rPr>
                <w:sz w:val="18"/>
                <w:szCs w:val="18"/>
              </w:rPr>
              <w:fldChar w:fldCharType="end"/>
            </w:r>
            <w:r>
              <w:rPr>
                <w:sz w:val="18"/>
                <w:szCs w:val="18"/>
              </w:rPr>
              <w:t>局</w:t>
            </w:r>
            <w:r>
              <w:rPr>
                <w:color w:val="000000"/>
                <w:sz w:val="18"/>
                <w:szCs w:val="18"/>
              </w:rPr>
              <w:t>部放电定位结果在图谱上集中性较强</w:t>
            </w:r>
            <w:r>
              <w:rPr>
                <w:sz w:val="18"/>
                <w:szCs w:val="18"/>
              </w:rPr>
              <w:t>；</w:t>
            </w:r>
            <w:r>
              <w:rPr>
                <w:sz w:val="18"/>
                <w:szCs w:val="18"/>
              </w:rPr>
              <w:fldChar w:fldCharType="begin"/>
            </w:r>
            <w:r>
              <w:rPr>
                <w:sz w:val="18"/>
                <w:szCs w:val="18"/>
              </w:rPr>
              <w:instrText xml:space="preserve"> = 3 \* GB3 </w:instrText>
            </w:r>
            <w:r>
              <w:rPr>
                <w:sz w:val="18"/>
                <w:szCs w:val="18"/>
              </w:rPr>
              <w:fldChar w:fldCharType="separate"/>
            </w:r>
            <w:r>
              <w:rPr>
                <w:rFonts w:hint="eastAsia" w:hAnsi="宋体" w:cs="宋体"/>
                <w:sz w:val="18"/>
                <w:szCs w:val="18"/>
              </w:rPr>
              <w:t>③</w:t>
            </w:r>
            <w:r>
              <w:rPr>
                <w:sz w:val="18"/>
                <w:szCs w:val="18"/>
              </w:rPr>
              <w:fldChar w:fldCharType="end"/>
            </w:r>
            <w:r>
              <w:rPr>
                <w:color w:val="000000"/>
                <w:sz w:val="18"/>
                <w:szCs w:val="18"/>
              </w:rPr>
              <w:t>局部放电相位谱图呈现180°特征</w:t>
            </w:r>
            <w:r>
              <w:rPr>
                <w:sz w:val="18"/>
                <w:szCs w:val="18"/>
              </w:rPr>
              <w:t>；</w:t>
            </w:r>
            <w:r>
              <w:rPr>
                <w:sz w:val="18"/>
                <w:szCs w:val="18"/>
              </w:rPr>
              <w:fldChar w:fldCharType="begin"/>
            </w:r>
            <w:r>
              <w:rPr>
                <w:sz w:val="18"/>
                <w:szCs w:val="18"/>
              </w:rPr>
              <w:instrText xml:space="preserve"> = 4 \* GB3 </w:instrText>
            </w:r>
            <w:r>
              <w:rPr>
                <w:sz w:val="18"/>
                <w:szCs w:val="18"/>
              </w:rPr>
              <w:fldChar w:fldCharType="separate"/>
            </w:r>
            <w:r>
              <w:rPr>
                <w:rFonts w:hint="eastAsia" w:hAnsi="宋体" w:cs="宋体"/>
                <w:sz w:val="18"/>
                <w:szCs w:val="18"/>
              </w:rPr>
              <w:t>④</w:t>
            </w:r>
            <w:r>
              <w:rPr>
                <w:sz w:val="18"/>
                <w:szCs w:val="18"/>
              </w:rPr>
              <w:fldChar w:fldCharType="end"/>
            </w:r>
            <w:r>
              <w:rPr>
                <w:sz w:val="18"/>
                <w:szCs w:val="18"/>
              </w:rPr>
              <w:t>能够</w:t>
            </w:r>
            <w:r>
              <w:rPr>
                <w:color w:val="000000"/>
                <w:sz w:val="18"/>
                <w:szCs w:val="18"/>
              </w:rPr>
              <w:t>较明显地区分出入射波和反射波。</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试验报告</w:t>
            </w:r>
          </w:p>
        </w:tc>
        <w:tc>
          <w:tcPr>
            <w:tcW w:w="1490" w:type="dxa"/>
            <w:shd w:val="clear" w:color="auto" w:fill="auto"/>
            <w:vAlign w:val="center"/>
          </w:tcPr>
          <w:p>
            <w:pPr>
              <w:jc w:val="center"/>
              <w:rPr>
                <w:sz w:val="18"/>
                <w:szCs w:val="18"/>
              </w:rPr>
            </w:pPr>
            <w:r>
              <w:rPr>
                <w:rFonts w:hint="eastAsia"/>
                <w:sz w:val="18"/>
                <w:szCs w:val="18"/>
              </w:rPr>
              <w:t>试验报告名称及起止页码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r>
              <w:rPr>
                <w:rFonts w:hint="eastAsia"/>
                <w:sz w:val="18"/>
                <w:szCs w:val="18"/>
              </w:rPr>
              <w:t>对应的试验报告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w:t>
            </w:r>
          </w:p>
        </w:tc>
        <w:tc>
          <w:tcPr>
            <w:tcW w:w="6234" w:type="dxa"/>
            <w:shd w:val="clear" w:color="auto" w:fill="auto"/>
            <w:vAlign w:val="center"/>
          </w:tcPr>
          <w:p>
            <w:pPr>
              <w:rPr>
                <w:sz w:val="18"/>
                <w:szCs w:val="18"/>
              </w:rPr>
            </w:pPr>
            <w:r>
              <w:rPr>
                <w:rFonts w:hint="eastAsia"/>
                <w:sz w:val="18"/>
                <w:szCs w:val="18"/>
              </w:rPr>
              <w:t>资料文件要求</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9.2.1</w:t>
            </w:r>
          </w:p>
        </w:tc>
        <w:tc>
          <w:tcPr>
            <w:tcW w:w="6234" w:type="dxa"/>
            <w:shd w:val="clear" w:color="auto" w:fill="auto"/>
            <w:vAlign w:val="center"/>
          </w:tcPr>
          <w:p>
            <w:pPr>
              <w:rPr>
                <w:sz w:val="18"/>
                <w:szCs w:val="18"/>
              </w:rPr>
            </w:pPr>
            <w:r>
              <w:rPr>
                <w:sz w:val="18"/>
                <w:szCs w:val="18"/>
              </w:rPr>
              <w:t>一般性资料</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sz w:val="18"/>
                <w:szCs w:val="18"/>
              </w:rPr>
              <w:t>一般性资料</w:t>
            </w:r>
          </w:p>
        </w:tc>
        <w:tc>
          <w:tcPr>
            <w:tcW w:w="1490" w:type="dxa"/>
            <w:shd w:val="clear" w:color="auto" w:fill="auto"/>
            <w:vAlign w:val="center"/>
          </w:tcPr>
          <w:p>
            <w:pPr>
              <w:jc w:val="center"/>
              <w:rPr>
                <w:sz w:val="18"/>
                <w:szCs w:val="18"/>
              </w:rPr>
            </w:pPr>
            <w:r>
              <w:rPr>
                <w:sz w:val="18"/>
                <w:szCs w:val="18"/>
              </w:rPr>
              <w:t>一般性资料</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9.2.1.1</w:t>
            </w:r>
          </w:p>
        </w:tc>
        <w:tc>
          <w:tcPr>
            <w:tcW w:w="6234" w:type="dxa"/>
            <w:shd w:val="clear" w:color="auto" w:fill="auto"/>
            <w:vAlign w:val="center"/>
          </w:tcPr>
          <w:p>
            <w:pPr>
              <w:adjustRightInd w:val="0"/>
              <w:rPr>
                <w:sz w:val="18"/>
                <w:szCs w:val="18"/>
              </w:rPr>
            </w:pPr>
            <w:r>
              <w:rPr>
                <w:rFonts w:hint="eastAsia"/>
                <w:sz w:val="18"/>
                <w:szCs w:val="18"/>
              </w:rPr>
              <w:t>10kV冷缩型电缆附件</w:t>
            </w:r>
            <w:r>
              <w:rPr>
                <w:sz w:val="18"/>
                <w:szCs w:val="18"/>
              </w:rPr>
              <w:t>型式试验报告</w:t>
            </w:r>
          </w:p>
        </w:tc>
        <w:tc>
          <w:tcPr>
            <w:tcW w:w="1203" w:type="dxa"/>
            <w:shd w:val="clear" w:color="auto" w:fill="auto"/>
            <w:vAlign w:val="center"/>
          </w:tcPr>
          <w:p>
            <w:pPr>
              <w:jc w:val="center"/>
              <w:rPr>
                <w:sz w:val="18"/>
                <w:szCs w:val="18"/>
              </w:rPr>
            </w:pPr>
          </w:p>
        </w:tc>
        <w:tc>
          <w:tcPr>
            <w:tcW w:w="1560" w:type="dxa"/>
            <w:shd w:val="clear" w:color="auto" w:fill="auto"/>
            <w:vAlign w:val="center"/>
          </w:tcPr>
          <w:p>
            <w:pPr>
              <w:adjustRightInd w:val="0"/>
              <w:rPr>
                <w:sz w:val="18"/>
                <w:szCs w:val="18"/>
              </w:rPr>
            </w:pPr>
            <w:r>
              <w:rPr>
                <w:rFonts w:hint="eastAsia"/>
                <w:sz w:val="18"/>
                <w:szCs w:val="18"/>
              </w:rPr>
              <w:t>10kV冷缩型电缆附件</w:t>
            </w:r>
            <w:r>
              <w:rPr>
                <w:sz w:val="18"/>
                <w:szCs w:val="18"/>
              </w:rPr>
              <w:t>型式试验报告</w:t>
            </w:r>
          </w:p>
        </w:tc>
        <w:tc>
          <w:tcPr>
            <w:tcW w:w="1490" w:type="dxa"/>
            <w:shd w:val="clear" w:color="auto" w:fill="auto"/>
            <w:vAlign w:val="center"/>
          </w:tcPr>
          <w:p>
            <w:pPr>
              <w:adjustRightInd w:val="0"/>
              <w:rPr>
                <w:sz w:val="18"/>
                <w:szCs w:val="18"/>
              </w:rPr>
            </w:pPr>
            <w:r>
              <w:rPr>
                <w:rFonts w:hint="eastAsia"/>
                <w:sz w:val="18"/>
                <w:szCs w:val="18"/>
              </w:rPr>
              <w:t>10kV冷缩型电缆附件</w:t>
            </w:r>
            <w:r>
              <w:rPr>
                <w:sz w:val="18"/>
                <w:szCs w:val="18"/>
              </w:rPr>
              <w:t>型式试验报告</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9.2.1.2</w:t>
            </w:r>
          </w:p>
        </w:tc>
        <w:tc>
          <w:tcPr>
            <w:tcW w:w="6234" w:type="dxa"/>
            <w:shd w:val="clear" w:color="auto" w:fill="auto"/>
            <w:vAlign w:val="center"/>
          </w:tcPr>
          <w:p>
            <w:pPr>
              <w:adjustRightInd w:val="0"/>
              <w:rPr>
                <w:sz w:val="18"/>
                <w:szCs w:val="18"/>
              </w:rPr>
            </w:pPr>
            <w:r>
              <w:rPr>
                <w:sz w:val="18"/>
                <w:szCs w:val="18"/>
              </w:rPr>
              <w:t>对应应标设备型号的安装使用说明书</w:t>
            </w:r>
          </w:p>
        </w:tc>
        <w:tc>
          <w:tcPr>
            <w:tcW w:w="1203" w:type="dxa"/>
            <w:shd w:val="clear" w:color="auto" w:fill="auto"/>
            <w:vAlign w:val="center"/>
          </w:tcPr>
          <w:p>
            <w:pPr>
              <w:jc w:val="center"/>
              <w:rPr>
                <w:sz w:val="18"/>
                <w:szCs w:val="18"/>
              </w:rPr>
            </w:pPr>
          </w:p>
        </w:tc>
        <w:tc>
          <w:tcPr>
            <w:tcW w:w="1560" w:type="dxa"/>
            <w:shd w:val="clear" w:color="auto" w:fill="auto"/>
            <w:vAlign w:val="center"/>
          </w:tcPr>
          <w:p>
            <w:pPr>
              <w:adjustRightInd w:val="0"/>
              <w:rPr>
                <w:sz w:val="18"/>
                <w:szCs w:val="18"/>
              </w:rPr>
            </w:pPr>
            <w:r>
              <w:rPr>
                <w:sz w:val="18"/>
                <w:szCs w:val="18"/>
              </w:rPr>
              <w:t>对应应标设备型号的安装使用说明书</w:t>
            </w:r>
          </w:p>
        </w:tc>
        <w:tc>
          <w:tcPr>
            <w:tcW w:w="1490" w:type="dxa"/>
            <w:shd w:val="clear" w:color="auto" w:fill="auto"/>
            <w:vAlign w:val="center"/>
          </w:tcPr>
          <w:p>
            <w:pPr>
              <w:adjustRightInd w:val="0"/>
              <w:rPr>
                <w:sz w:val="18"/>
                <w:szCs w:val="18"/>
              </w:rPr>
            </w:pPr>
            <w:r>
              <w:rPr>
                <w:sz w:val="18"/>
                <w:szCs w:val="18"/>
              </w:rPr>
              <w:t>对应应标设备型号的安装使用说明书</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9.2.1.3</w:t>
            </w:r>
          </w:p>
        </w:tc>
        <w:tc>
          <w:tcPr>
            <w:tcW w:w="6234" w:type="dxa"/>
            <w:shd w:val="clear" w:color="auto" w:fill="auto"/>
            <w:vAlign w:val="center"/>
          </w:tcPr>
          <w:p>
            <w:pPr>
              <w:adjustRightInd w:val="0"/>
              <w:rPr>
                <w:sz w:val="18"/>
                <w:szCs w:val="18"/>
              </w:rPr>
            </w:pPr>
            <w:r>
              <w:rPr>
                <w:sz w:val="18"/>
                <w:szCs w:val="18"/>
              </w:rPr>
              <w:t>按南网规定模版编制的对应应标</w:t>
            </w:r>
            <w:r>
              <w:rPr>
                <w:rFonts w:hint="eastAsia"/>
                <w:sz w:val="18"/>
                <w:szCs w:val="18"/>
              </w:rPr>
              <w:t>10kV冷缩型电缆附件</w:t>
            </w:r>
            <w:r>
              <w:rPr>
                <w:sz w:val="18"/>
                <w:szCs w:val="18"/>
              </w:rPr>
              <w:t>型号的维护检修手册</w:t>
            </w:r>
          </w:p>
        </w:tc>
        <w:tc>
          <w:tcPr>
            <w:tcW w:w="1203" w:type="dxa"/>
            <w:shd w:val="clear" w:color="auto" w:fill="auto"/>
            <w:vAlign w:val="center"/>
          </w:tcPr>
          <w:p>
            <w:pPr>
              <w:jc w:val="center"/>
              <w:rPr>
                <w:sz w:val="18"/>
                <w:szCs w:val="18"/>
              </w:rPr>
            </w:pPr>
          </w:p>
        </w:tc>
        <w:tc>
          <w:tcPr>
            <w:tcW w:w="1560" w:type="dxa"/>
            <w:shd w:val="clear" w:color="auto" w:fill="auto"/>
            <w:vAlign w:val="center"/>
          </w:tcPr>
          <w:p>
            <w:pPr>
              <w:adjustRightInd w:val="0"/>
              <w:rPr>
                <w:sz w:val="18"/>
                <w:szCs w:val="18"/>
              </w:rPr>
            </w:pPr>
            <w:r>
              <w:rPr>
                <w:sz w:val="18"/>
                <w:szCs w:val="18"/>
              </w:rPr>
              <w:t>按南网规定模版编制的对应应标</w:t>
            </w:r>
            <w:r>
              <w:rPr>
                <w:rFonts w:hint="eastAsia"/>
                <w:sz w:val="18"/>
                <w:szCs w:val="18"/>
              </w:rPr>
              <w:t>10kV冷缩型电缆附件</w:t>
            </w:r>
            <w:r>
              <w:rPr>
                <w:sz w:val="18"/>
                <w:szCs w:val="18"/>
              </w:rPr>
              <w:t>型号的维护检修手册</w:t>
            </w:r>
          </w:p>
        </w:tc>
        <w:tc>
          <w:tcPr>
            <w:tcW w:w="1490" w:type="dxa"/>
            <w:shd w:val="clear" w:color="auto" w:fill="auto"/>
            <w:vAlign w:val="center"/>
          </w:tcPr>
          <w:p>
            <w:pPr>
              <w:adjustRightInd w:val="0"/>
              <w:rPr>
                <w:sz w:val="18"/>
                <w:szCs w:val="18"/>
              </w:rPr>
            </w:pPr>
            <w:r>
              <w:rPr>
                <w:sz w:val="18"/>
                <w:szCs w:val="18"/>
              </w:rPr>
              <w:t>按南网规定模版编制的对应应标</w:t>
            </w:r>
            <w:r>
              <w:rPr>
                <w:rFonts w:hint="eastAsia"/>
                <w:sz w:val="18"/>
                <w:szCs w:val="18"/>
              </w:rPr>
              <w:t>10kV冷缩型电缆附件</w:t>
            </w:r>
            <w:r>
              <w:rPr>
                <w:sz w:val="18"/>
                <w:szCs w:val="18"/>
              </w:rPr>
              <w:t>型号的维护检修手册</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9.2.1.4</w:t>
            </w:r>
          </w:p>
        </w:tc>
        <w:tc>
          <w:tcPr>
            <w:tcW w:w="6234" w:type="dxa"/>
            <w:shd w:val="clear" w:color="auto" w:fill="auto"/>
            <w:vAlign w:val="center"/>
          </w:tcPr>
          <w:p>
            <w:pPr>
              <w:adjustRightInd w:val="0"/>
              <w:rPr>
                <w:szCs w:val="20"/>
              </w:rPr>
            </w:pPr>
            <w:r>
              <w:rPr>
                <w:sz w:val="18"/>
                <w:szCs w:val="18"/>
              </w:rPr>
              <w:t>确保质量控制的检测设备清单</w:t>
            </w:r>
          </w:p>
        </w:tc>
        <w:tc>
          <w:tcPr>
            <w:tcW w:w="1203" w:type="dxa"/>
            <w:shd w:val="clear" w:color="auto" w:fill="auto"/>
            <w:vAlign w:val="center"/>
          </w:tcPr>
          <w:p>
            <w:pPr>
              <w:jc w:val="center"/>
              <w:rPr>
                <w:sz w:val="18"/>
                <w:szCs w:val="18"/>
              </w:rPr>
            </w:pPr>
          </w:p>
        </w:tc>
        <w:tc>
          <w:tcPr>
            <w:tcW w:w="1560" w:type="dxa"/>
            <w:shd w:val="clear" w:color="auto" w:fill="auto"/>
            <w:vAlign w:val="center"/>
          </w:tcPr>
          <w:p>
            <w:pPr>
              <w:adjustRightInd w:val="0"/>
              <w:rPr>
                <w:szCs w:val="20"/>
              </w:rPr>
            </w:pPr>
            <w:r>
              <w:rPr>
                <w:sz w:val="18"/>
                <w:szCs w:val="18"/>
              </w:rPr>
              <w:t>确保质量控制的检测设备清单</w:t>
            </w:r>
          </w:p>
        </w:tc>
        <w:tc>
          <w:tcPr>
            <w:tcW w:w="1490" w:type="dxa"/>
            <w:shd w:val="clear" w:color="auto" w:fill="auto"/>
            <w:vAlign w:val="center"/>
          </w:tcPr>
          <w:p>
            <w:pPr>
              <w:adjustRightInd w:val="0"/>
              <w:rPr>
                <w:szCs w:val="20"/>
              </w:rPr>
            </w:pPr>
            <w:r>
              <w:rPr>
                <w:sz w:val="18"/>
                <w:szCs w:val="18"/>
              </w:rPr>
              <w:t>确保质量控制的检测设备清单</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9.2.1.5</w:t>
            </w:r>
          </w:p>
        </w:tc>
        <w:tc>
          <w:tcPr>
            <w:tcW w:w="6234" w:type="dxa"/>
            <w:shd w:val="clear" w:color="auto" w:fill="auto"/>
            <w:vAlign w:val="center"/>
          </w:tcPr>
          <w:p>
            <w:pPr>
              <w:adjustRightInd w:val="0"/>
              <w:rPr>
                <w:szCs w:val="20"/>
              </w:rPr>
            </w:pPr>
            <w:r>
              <w:rPr>
                <w:sz w:val="18"/>
                <w:szCs w:val="18"/>
              </w:rPr>
              <w:t>厂家易损件清单</w:t>
            </w:r>
          </w:p>
        </w:tc>
        <w:tc>
          <w:tcPr>
            <w:tcW w:w="1203" w:type="dxa"/>
            <w:shd w:val="clear" w:color="auto" w:fill="auto"/>
            <w:vAlign w:val="center"/>
          </w:tcPr>
          <w:p>
            <w:pPr>
              <w:jc w:val="center"/>
              <w:rPr>
                <w:sz w:val="18"/>
                <w:szCs w:val="18"/>
              </w:rPr>
            </w:pPr>
          </w:p>
        </w:tc>
        <w:tc>
          <w:tcPr>
            <w:tcW w:w="1560" w:type="dxa"/>
            <w:shd w:val="clear" w:color="auto" w:fill="auto"/>
            <w:vAlign w:val="center"/>
          </w:tcPr>
          <w:p>
            <w:pPr>
              <w:adjustRightInd w:val="0"/>
              <w:rPr>
                <w:szCs w:val="20"/>
              </w:rPr>
            </w:pPr>
            <w:r>
              <w:rPr>
                <w:sz w:val="18"/>
                <w:szCs w:val="18"/>
              </w:rPr>
              <w:t>厂家易损件清单</w:t>
            </w:r>
          </w:p>
        </w:tc>
        <w:tc>
          <w:tcPr>
            <w:tcW w:w="1490" w:type="dxa"/>
            <w:shd w:val="clear" w:color="auto" w:fill="auto"/>
            <w:vAlign w:val="center"/>
          </w:tcPr>
          <w:p>
            <w:pPr>
              <w:adjustRightInd w:val="0"/>
              <w:rPr>
                <w:szCs w:val="20"/>
              </w:rPr>
            </w:pPr>
            <w:r>
              <w:rPr>
                <w:sz w:val="18"/>
                <w:szCs w:val="18"/>
              </w:rPr>
              <w:t>厂家易损件清单</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9.2.2</w:t>
            </w:r>
          </w:p>
        </w:tc>
        <w:tc>
          <w:tcPr>
            <w:tcW w:w="6234" w:type="dxa"/>
            <w:shd w:val="clear" w:color="auto" w:fill="auto"/>
            <w:vAlign w:val="center"/>
          </w:tcPr>
          <w:p>
            <w:pPr>
              <w:rPr>
                <w:sz w:val="18"/>
                <w:szCs w:val="18"/>
              </w:rPr>
            </w:pPr>
            <w:r>
              <w:rPr>
                <w:rFonts w:hint="eastAsia"/>
                <w:sz w:val="18"/>
                <w:szCs w:val="18"/>
              </w:rPr>
              <w:t>图纸资料</w:t>
            </w:r>
          </w:p>
        </w:tc>
        <w:tc>
          <w:tcPr>
            <w:tcW w:w="1203" w:type="dxa"/>
            <w:shd w:val="clear" w:color="auto" w:fill="auto"/>
            <w:vAlign w:val="center"/>
          </w:tcPr>
          <w:p>
            <w:pPr>
              <w:jc w:val="center"/>
              <w:rPr>
                <w:sz w:val="18"/>
                <w:szCs w:val="18"/>
              </w:rPr>
            </w:pPr>
          </w:p>
        </w:tc>
        <w:tc>
          <w:tcPr>
            <w:tcW w:w="1560" w:type="dxa"/>
            <w:shd w:val="clear" w:color="auto" w:fill="auto"/>
            <w:vAlign w:val="center"/>
          </w:tcPr>
          <w:p>
            <w:pPr>
              <w:rPr>
                <w:sz w:val="18"/>
                <w:szCs w:val="18"/>
              </w:rPr>
            </w:pPr>
            <w:r>
              <w:rPr>
                <w:rFonts w:hint="eastAsia"/>
                <w:sz w:val="18"/>
                <w:szCs w:val="18"/>
              </w:rPr>
              <w:t>图纸资料</w:t>
            </w:r>
          </w:p>
        </w:tc>
        <w:tc>
          <w:tcPr>
            <w:tcW w:w="1490" w:type="dxa"/>
            <w:shd w:val="clear" w:color="auto" w:fill="auto"/>
            <w:vAlign w:val="center"/>
          </w:tcPr>
          <w:p>
            <w:pPr>
              <w:rPr>
                <w:sz w:val="18"/>
                <w:szCs w:val="18"/>
              </w:rPr>
            </w:pPr>
            <w:r>
              <w:rPr>
                <w:rFonts w:hint="eastAsia"/>
                <w:sz w:val="18"/>
                <w:szCs w:val="18"/>
              </w:rPr>
              <w:t>图纸资料</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9.2.2.1</w:t>
            </w:r>
          </w:p>
        </w:tc>
        <w:tc>
          <w:tcPr>
            <w:tcW w:w="6234" w:type="dxa"/>
            <w:shd w:val="clear" w:color="auto" w:fill="auto"/>
            <w:vAlign w:val="center"/>
          </w:tcPr>
          <w:p>
            <w:pPr>
              <w:jc w:val="left"/>
              <w:rPr>
                <w:sz w:val="18"/>
                <w:szCs w:val="18"/>
              </w:rPr>
            </w:pPr>
            <w:r>
              <w:rPr>
                <w:rFonts w:hint="eastAsia"/>
                <w:sz w:val="18"/>
                <w:szCs w:val="18"/>
              </w:rPr>
              <w:t>电场强度计算书。</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sz w:val="18"/>
                <w:szCs w:val="18"/>
              </w:rPr>
              <w:t>图纸</w:t>
            </w:r>
          </w:p>
        </w:tc>
        <w:tc>
          <w:tcPr>
            <w:tcW w:w="1490" w:type="dxa"/>
            <w:shd w:val="clear" w:color="auto" w:fill="auto"/>
            <w:vAlign w:val="center"/>
          </w:tcPr>
          <w:p>
            <w:pPr>
              <w:jc w:val="center"/>
              <w:rPr>
                <w:sz w:val="18"/>
                <w:szCs w:val="18"/>
              </w:rPr>
            </w:pPr>
            <w:r>
              <w:rPr>
                <w:rFonts w:hint="eastAsia"/>
                <w:sz w:val="18"/>
                <w:szCs w:val="18"/>
              </w:rPr>
              <w:t>图纸编号及起止页码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9.2.2.2</w:t>
            </w:r>
          </w:p>
        </w:tc>
        <w:tc>
          <w:tcPr>
            <w:tcW w:w="6234" w:type="dxa"/>
            <w:shd w:val="clear" w:color="auto" w:fill="auto"/>
            <w:vAlign w:val="center"/>
          </w:tcPr>
          <w:p>
            <w:pPr>
              <w:jc w:val="left"/>
              <w:rPr>
                <w:sz w:val="18"/>
                <w:szCs w:val="18"/>
              </w:rPr>
            </w:pPr>
            <w:r>
              <w:rPr>
                <w:rFonts w:hint="eastAsia"/>
                <w:sz w:val="18"/>
                <w:szCs w:val="18"/>
              </w:rPr>
              <w:t>绝缘填充剂技术参数。</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相应技术文件</w:t>
            </w:r>
          </w:p>
        </w:tc>
        <w:tc>
          <w:tcPr>
            <w:tcW w:w="1490" w:type="dxa"/>
            <w:shd w:val="clear" w:color="auto" w:fill="auto"/>
            <w:vAlign w:val="center"/>
          </w:tcPr>
          <w:p>
            <w:pPr>
              <w:jc w:val="center"/>
              <w:rPr>
                <w:sz w:val="18"/>
                <w:szCs w:val="18"/>
              </w:rPr>
            </w:pPr>
            <w:r>
              <w:rPr>
                <w:rFonts w:hint="eastAsia"/>
                <w:sz w:val="18"/>
                <w:szCs w:val="18"/>
              </w:rPr>
              <w:t>文件名称及起止页码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9.2.2.3</w:t>
            </w:r>
          </w:p>
        </w:tc>
        <w:tc>
          <w:tcPr>
            <w:tcW w:w="6234" w:type="dxa"/>
            <w:shd w:val="clear" w:color="auto" w:fill="auto"/>
            <w:vAlign w:val="center"/>
          </w:tcPr>
          <w:p>
            <w:pPr>
              <w:jc w:val="left"/>
              <w:rPr>
                <w:sz w:val="18"/>
                <w:szCs w:val="18"/>
              </w:rPr>
            </w:pPr>
            <w:r>
              <w:rPr>
                <w:rFonts w:hint="eastAsia"/>
                <w:color w:val="000000"/>
                <w:sz w:val="18"/>
                <w:szCs w:val="18"/>
              </w:rPr>
              <w:t>电缆附件安装所需专用工具的类型及生产厂家</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相应技术文件</w:t>
            </w:r>
          </w:p>
        </w:tc>
        <w:tc>
          <w:tcPr>
            <w:tcW w:w="1490" w:type="dxa"/>
            <w:shd w:val="clear" w:color="auto" w:fill="auto"/>
            <w:vAlign w:val="center"/>
          </w:tcPr>
          <w:p>
            <w:pPr>
              <w:jc w:val="center"/>
              <w:rPr>
                <w:sz w:val="18"/>
                <w:szCs w:val="18"/>
              </w:rPr>
            </w:pPr>
            <w:r>
              <w:rPr>
                <w:rFonts w:hint="eastAsia"/>
                <w:sz w:val="18"/>
                <w:szCs w:val="18"/>
              </w:rPr>
              <w:t>文件名称及起止页码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9.2.2.4</w:t>
            </w:r>
          </w:p>
        </w:tc>
        <w:tc>
          <w:tcPr>
            <w:tcW w:w="6234" w:type="dxa"/>
            <w:shd w:val="clear" w:color="auto" w:fill="auto"/>
            <w:vAlign w:val="center"/>
          </w:tcPr>
          <w:p>
            <w:pPr>
              <w:jc w:val="left"/>
              <w:rPr>
                <w:sz w:val="18"/>
                <w:szCs w:val="18"/>
              </w:rPr>
            </w:pPr>
            <w:r>
              <w:rPr>
                <w:rFonts w:hint="eastAsia"/>
                <w:color w:val="000000"/>
                <w:sz w:val="18"/>
                <w:szCs w:val="18"/>
              </w:rPr>
              <w:t>电缆附件安装所需的其他技术文件。</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相应技术文件</w:t>
            </w:r>
          </w:p>
        </w:tc>
        <w:tc>
          <w:tcPr>
            <w:tcW w:w="1490" w:type="dxa"/>
            <w:shd w:val="clear" w:color="auto" w:fill="auto"/>
            <w:vAlign w:val="center"/>
          </w:tcPr>
          <w:p>
            <w:pPr>
              <w:jc w:val="center"/>
              <w:rPr>
                <w:sz w:val="18"/>
                <w:szCs w:val="18"/>
              </w:rPr>
            </w:pPr>
            <w:r>
              <w:rPr>
                <w:rFonts w:hint="eastAsia"/>
                <w:sz w:val="18"/>
                <w:szCs w:val="18"/>
              </w:rPr>
              <w:t>文件名称及起止页码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9.2.2.5</w:t>
            </w:r>
          </w:p>
        </w:tc>
        <w:tc>
          <w:tcPr>
            <w:tcW w:w="6234" w:type="dxa"/>
            <w:shd w:val="clear" w:color="auto" w:fill="auto"/>
            <w:vAlign w:val="center"/>
          </w:tcPr>
          <w:p>
            <w:pPr>
              <w:rPr>
                <w:sz w:val="18"/>
                <w:szCs w:val="18"/>
              </w:rPr>
            </w:pPr>
            <w:r>
              <w:rPr>
                <w:rFonts w:hint="eastAsia"/>
                <w:color w:val="000000"/>
                <w:sz w:val="18"/>
                <w:szCs w:val="18"/>
              </w:rPr>
              <w:t>生产厂家出厂试验报告、合格证。</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相应技术文件</w:t>
            </w:r>
          </w:p>
        </w:tc>
        <w:tc>
          <w:tcPr>
            <w:tcW w:w="1490" w:type="dxa"/>
            <w:shd w:val="clear" w:color="auto" w:fill="auto"/>
            <w:vAlign w:val="center"/>
          </w:tcPr>
          <w:p>
            <w:pPr>
              <w:jc w:val="center"/>
              <w:rPr>
                <w:sz w:val="18"/>
                <w:szCs w:val="18"/>
              </w:rPr>
            </w:pPr>
            <w:r>
              <w:rPr>
                <w:rFonts w:hint="eastAsia"/>
                <w:sz w:val="18"/>
                <w:szCs w:val="18"/>
              </w:rPr>
              <w:t>文件名称及起止页码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9.2.2.6</w:t>
            </w:r>
          </w:p>
        </w:tc>
        <w:tc>
          <w:tcPr>
            <w:tcW w:w="6234" w:type="dxa"/>
            <w:shd w:val="clear" w:color="auto" w:fill="auto"/>
            <w:vAlign w:val="center"/>
          </w:tcPr>
          <w:p>
            <w:pPr>
              <w:adjustRightInd w:val="0"/>
              <w:spacing w:line="360" w:lineRule="auto"/>
              <w:rPr>
                <w:sz w:val="18"/>
                <w:szCs w:val="18"/>
              </w:rPr>
            </w:pPr>
            <w:r>
              <w:rPr>
                <w:rFonts w:hint="eastAsia"/>
                <w:color w:val="000000"/>
                <w:sz w:val="18"/>
                <w:szCs w:val="18"/>
              </w:rPr>
              <w:t>投标方所有图纸和文件资料必须经过有关程序审批并加盖公章。</w:t>
            </w:r>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r>
              <w:rPr>
                <w:rFonts w:hint="eastAsia"/>
                <w:sz w:val="18"/>
                <w:szCs w:val="18"/>
              </w:rPr>
              <w:t>相应技术文件</w:t>
            </w:r>
          </w:p>
        </w:tc>
        <w:tc>
          <w:tcPr>
            <w:tcW w:w="1490" w:type="dxa"/>
            <w:shd w:val="clear" w:color="auto" w:fill="auto"/>
            <w:vAlign w:val="center"/>
          </w:tcPr>
          <w:p>
            <w:pPr>
              <w:jc w:val="center"/>
              <w:rPr>
                <w:sz w:val="18"/>
                <w:szCs w:val="18"/>
              </w:rPr>
            </w:pPr>
            <w:r>
              <w:rPr>
                <w:rFonts w:hint="eastAsia"/>
                <w:sz w:val="18"/>
                <w:szCs w:val="18"/>
              </w:rPr>
              <w:t>文件名称及起止页码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10.2</w:t>
            </w:r>
          </w:p>
        </w:tc>
        <w:tc>
          <w:tcPr>
            <w:tcW w:w="6234" w:type="dxa"/>
            <w:shd w:val="clear" w:color="auto" w:fill="auto"/>
            <w:vAlign w:val="center"/>
          </w:tcPr>
          <w:p>
            <w:pPr>
              <w:rPr>
                <w:sz w:val="18"/>
                <w:szCs w:val="18"/>
              </w:rPr>
            </w:pPr>
            <w:bookmarkStart w:id="234" w:name="_Toc496113232"/>
            <w:bookmarkStart w:id="235" w:name="_Toc387670171"/>
            <w:r>
              <w:rPr>
                <w:rFonts w:hint="eastAsia"/>
                <w:sz w:val="18"/>
                <w:szCs w:val="18"/>
              </w:rPr>
              <w:t>包装</w:t>
            </w:r>
            <w:bookmarkEnd w:id="234"/>
            <w:bookmarkEnd w:id="235"/>
          </w:p>
        </w:tc>
        <w:tc>
          <w:tcPr>
            <w:tcW w:w="1203" w:type="dxa"/>
            <w:shd w:val="clear" w:color="auto" w:fill="auto"/>
            <w:vAlign w:val="center"/>
          </w:tcPr>
          <w:p>
            <w:pPr>
              <w:jc w:val="center"/>
              <w:rPr>
                <w:sz w:val="18"/>
                <w:szCs w:val="18"/>
              </w:rPr>
            </w:pPr>
          </w:p>
        </w:tc>
        <w:tc>
          <w:tcPr>
            <w:tcW w:w="1560" w:type="dxa"/>
            <w:shd w:val="clear" w:color="auto" w:fill="auto"/>
            <w:vAlign w:val="center"/>
          </w:tcPr>
          <w:p>
            <w:pPr>
              <w:jc w:val="center"/>
              <w:rPr>
                <w:sz w:val="18"/>
                <w:szCs w:val="18"/>
              </w:rPr>
            </w:pPr>
          </w:p>
        </w:tc>
        <w:tc>
          <w:tcPr>
            <w:tcW w:w="1490" w:type="dxa"/>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10.2.1</w:t>
            </w:r>
          </w:p>
        </w:tc>
        <w:tc>
          <w:tcPr>
            <w:tcW w:w="6234" w:type="dxa"/>
            <w:shd w:val="clear" w:color="auto" w:fill="auto"/>
            <w:vAlign w:val="center"/>
          </w:tcPr>
          <w:p>
            <w:pPr>
              <w:rPr>
                <w:sz w:val="18"/>
                <w:szCs w:val="18"/>
              </w:rPr>
            </w:pPr>
            <w:r>
              <w:rPr>
                <w:rFonts w:hint="eastAsia"/>
                <w:sz w:val="18"/>
                <w:szCs w:val="18"/>
              </w:rPr>
              <w:t>附件的各种部件装入包装箱内，包装箱应采用纸或木箱。装箱时在箱内必须附有装箱清单、安装使用说明书和结构示意图。附件零部件可分开包装。包装箱侧面应注明部件名称、规格。两端面应注明轻放；防雨；不得穿刺。各种包装应能确保各零部件在运输过程中不致遭到损坏、丢失、变形、受潮和腐蚀。</w:t>
            </w:r>
          </w:p>
        </w:tc>
        <w:tc>
          <w:tcPr>
            <w:tcW w:w="1203" w:type="dxa"/>
            <w:shd w:val="clear" w:color="auto" w:fill="auto"/>
            <w:vAlign w:val="center"/>
          </w:tcPr>
          <w:p>
            <w:pPr>
              <w:rPr>
                <w:sz w:val="18"/>
                <w:szCs w:val="18"/>
              </w:rPr>
            </w:pPr>
          </w:p>
        </w:tc>
        <w:tc>
          <w:tcPr>
            <w:tcW w:w="1560" w:type="dxa"/>
            <w:shd w:val="clear" w:color="auto" w:fill="auto"/>
            <w:vAlign w:val="center"/>
          </w:tcPr>
          <w:p>
            <w:pPr>
              <w:jc w:val="center"/>
              <w:rPr>
                <w:sz w:val="18"/>
                <w:szCs w:val="18"/>
              </w:rPr>
            </w:pPr>
            <w:r>
              <w:rPr>
                <w:rFonts w:hint="eastAsia"/>
                <w:sz w:val="18"/>
                <w:szCs w:val="18"/>
              </w:rPr>
              <w:t>相应要求的满足情况</w:t>
            </w:r>
          </w:p>
        </w:tc>
        <w:tc>
          <w:tcPr>
            <w:tcW w:w="1490" w:type="dxa"/>
            <w:shd w:val="clear" w:color="auto" w:fill="auto"/>
            <w:vAlign w:val="center"/>
          </w:tcPr>
          <w:p>
            <w:pPr>
              <w:jc w:val="center"/>
              <w:rPr>
                <w:sz w:val="18"/>
                <w:szCs w:val="18"/>
              </w:rPr>
            </w:pPr>
            <w:r>
              <w:rPr>
                <w:rFonts w:hint="eastAsia"/>
                <w:sz w:val="18"/>
                <w:szCs w:val="18"/>
              </w:rPr>
              <w:t>技术文件名称及起止页码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vAlign w:val="center"/>
          </w:tcPr>
          <w:p>
            <w:pPr>
              <w:jc w:val="center"/>
              <w:rPr>
                <w:sz w:val="18"/>
                <w:szCs w:val="18"/>
              </w:rPr>
            </w:pPr>
            <w:r>
              <w:rPr>
                <w:rFonts w:hint="eastAsia"/>
                <w:sz w:val="18"/>
                <w:szCs w:val="18"/>
              </w:rPr>
              <w:t>10.2.2</w:t>
            </w:r>
          </w:p>
        </w:tc>
        <w:tc>
          <w:tcPr>
            <w:tcW w:w="6234" w:type="dxa"/>
            <w:shd w:val="clear" w:color="auto" w:fill="auto"/>
            <w:vAlign w:val="center"/>
          </w:tcPr>
          <w:p>
            <w:pPr>
              <w:rPr>
                <w:sz w:val="18"/>
                <w:szCs w:val="18"/>
              </w:rPr>
            </w:pPr>
            <w:r>
              <w:rPr>
                <w:rFonts w:hint="eastAsia"/>
                <w:sz w:val="18"/>
                <w:szCs w:val="18"/>
              </w:rPr>
              <w:t>包装箱外应标明以下内容：</w:t>
            </w:r>
          </w:p>
          <w:p>
            <w:pPr>
              <w:rPr>
                <w:sz w:val="18"/>
                <w:szCs w:val="18"/>
              </w:rPr>
            </w:pPr>
            <w:r>
              <w:rPr>
                <w:rFonts w:hint="eastAsia"/>
                <w:sz w:val="18"/>
                <w:szCs w:val="18"/>
              </w:rPr>
              <w:t>买方名称、交货地点；</w:t>
            </w:r>
          </w:p>
          <w:p>
            <w:pPr>
              <w:rPr>
                <w:sz w:val="18"/>
                <w:szCs w:val="18"/>
              </w:rPr>
            </w:pPr>
            <w:r>
              <w:rPr>
                <w:rFonts w:hint="eastAsia"/>
                <w:sz w:val="18"/>
                <w:szCs w:val="18"/>
              </w:rPr>
              <w:t>制造厂名和制造日期；</w:t>
            </w:r>
          </w:p>
          <w:p>
            <w:pPr>
              <w:rPr>
                <w:sz w:val="18"/>
                <w:szCs w:val="18"/>
              </w:rPr>
            </w:pPr>
            <w:r>
              <w:rPr>
                <w:rFonts w:hint="eastAsia"/>
                <w:sz w:val="18"/>
                <w:szCs w:val="18"/>
              </w:rPr>
              <w:t>包装箱毛重和净重；</w:t>
            </w:r>
          </w:p>
          <w:p>
            <w:pPr>
              <w:rPr>
                <w:sz w:val="18"/>
                <w:szCs w:val="18"/>
              </w:rPr>
            </w:pPr>
            <w:r>
              <w:rPr>
                <w:rFonts w:hint="eastAsia"/>
                <w:sz w:val="18"/>
                <w:szCs w:val="18"/>
              </w:rPr>
              <w:t>包装箱外形尺寸；</w:t>
            </w:r>
          </w:p>
          <w:p>
            <w:pPr>
              <w:rPr>
                <w:sz w:val="18"/>
                <w:szCs w:val="18"/>
              </w:rPr>
            </w:pPr>
            <w:r>
              <w:rPr>
                <w:rFonts w:hint="eastAsia"/>
                <w:sz w:val="18"/>
                <w:szCs w:val="18"/>
              </w:rPr>
              <w:t>必要的警告文字和符号；</w:t>
            </w:r>
          </w:p>
          <w:p>
            <w:pPr>
              <w:rPr>
                <w:sz w:val="18"/>
                <w:szCs w:val="18"/>
              </w:rPr>
            </w:pPr>
            <w:r>
              <w:rPr>
                <w:rFonts w:hint="eastAsia"/>
                <w:sz w:val="18"/>
                <w:szCs w:val="18"/>
              </w:rPr>
              <w:t>总运输数量、各箱编号；</w:t>
            </w:r>
          </w:p>
          <w:p>
            <w:pPr>
              <w:rPr>
                <w:sz w:val="18"/>
                <w:szCs w:val="18"/>
              </w:rPr>
            </w:pPr>
            <w:r>
              <w:rPr>
                <w:rFonts w:hint="eastAsia"/>
                <w:sz w:val="18"/>
                <w:szCs w:val="18"/>
              </w:rPr>
              <w:t>合同号；</w:t>
            </w:r>
          </w:p>
          <w:p>
            <w:pPr>
              <w:rPr>
                <w:sz w:val="18"/>
                <w:szCs w:val="18"/>
              </w:rPr>
            </w:pPr>
            <w:r>
              <w:rPr>
                <w:rFonts w:hint="eastAsia"/>
                <w:sz w:val="18"/>
                <w:szCs w:val="18"/>
              </w:rPr>
              <w:t>附件名称、规格、数量。</w:t>
            </w:r>
          </w:p>
        </w:tc>
        <w:tc>
          <w:tcPr>
            <w:tcW w:w="1203" w:type="dxa"/>
            <w:shd w:val="clear" w:color="auto" w:fill="auto"/>
            <w:vAlign w:val="center"/>
          </w:tcPr>
          <w:p>
            <w:pPr>
              <w:rPr>
                <w:sz w:val="18"/>
                <w:szCs w:val="18"/>
              </w:rPr>
            </w:pPr>
          </w:p>
        </w:tc>
        <w:tc>
          <w:tcPr>
            <w:tcW w:w="1560" w:type="dxa"/>
            <w:shd w:val="clear" w:color="auto" w:fill="auto"/>
            <w:vAlign w:val="center"/>
          </w:tcPr>
          <w:p>
            <w:pPr>
              <w:jc w:val="center"/>
              <w:rPr>
                <w:sz w:val="18"/>
                <w:szCs w:val="18"/>
              </w:rPr>
            </w:pPr>
            <w:r>
              <w:rPr>
                <w:rFonts w:hint="eastAsia"/>
                <w:sz w:val="18"/>
                <w:szCs w:val="18"/>
              </w:rPr>
              <w:t>相应要求的满足情况</w:t>
            </w:r>
          </w:p>
        </w:tc>
        <w:tc>
          <w:tcPr>
            <w:tcW w:w="1490" w:type="dxa"/>
            <w:shd w:val="clear" w:color="auto" w:fill="auto"/>
            <w:vAlign w:val="center"/>
          </w:tcPr>
          <w:p>
            <w:pPr>
              <w:jc w:val="center"/>
              <w:rPr>
                <w:sz w:val="18"/>
                <w:szCs w:val="18"/>
              </w:rPr>
            </w:pPr>
            <w:r>
              <w:rPr>
                <w:rFonts w:hint="eastAsia"/>
                <w:sz w:val="18"/>
                <w:szCs w:val="18"/>
              </w:rPr>
              <w:t>技术文件名称及起止页码</w:t>
            </w:r>
          </w:p>
        </w:tc>
        <w:tc>
          <w:tcPr>
            <w:tcW w:w="1559" w:type="dxa"/>
            <w:shd w:val="clear" w:color="auto" w:fill="auto"/>
            <w:vAlign w:val="center"/>
          </w:tcPr>
          <w:p>
            <w:pPr>
              <w:jc w:val="center"/>
              <w:rPr>
                <w:sz w:val="18"/>
                <w:szCs w:val="18"/>
              </w:rPr>
            </w:pPr>
          </w:p>
        </w:tc>
        <w:tc>
          <w:tcPr>
            <w:tcW w:w="1276" w:type="dxa"/>
            <w:shd w:val="clear" w:color="auto" w:fill="auto"/>
            <w:vAlign w:val="center"/>
          </w:tcPr>
          <w:p>
            <w:pPr>
              <w:jc w:val="center"/>
              <w:rPr>
                <w:sz w:val="18"/>
                <w:szCs w:val="18"/>
              </w:rPr>
            </w:pPr>
          </w:p>
        </w:tc>
      </w:tr>
    </w:tbl>
    <w:p>
      <w:pPr>
        <w:jc w:val="center"/>
      </w:pPr>
    </w:p>
    <w:p>
      <w:pPr>
        <w:jc w:val="center"/>
        <w:rPr>
          <w:rFonts w:hint="eastAsia" w:ascii="宋体" w:hAnsi="宋体"/>
          <w:sz w:val="36"/>
          <w:szCs w:val="36"/>
        </w:rPr>
      </w:pPr>
    </w:p>
    <w:p>
      <w:pPr>
        <w:spacing w:line="360" w:lineRule="auto"/>
        <w:rPr>
          <w:sz w:val="24"/>
          <w:szCs w:val="20"/>
        </w:rPr>
      </w:pPr>
    </w:p>
    <w:p>
      <w:pPr>
        <w:spacing w:line="360" w:lineRule="auto"/>
        <w:rPr>
          <w:sz w:val="24"/>
          <w:szCs w:val="20"/>
        </w:rPr>
      </w:pPr>
    </w:p>
    <w:sectPr>
      <w:pgSz w:w="16838" w:h="11906" w:orient="landscape"/>
      <w:pgMar w:top="1134" w:right="1134" w:bottom="1134" w:left="1134" w:header="624" w:footer="5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fldChar w:fldCharType="begin"/>
    </w:r>
    <w:r>
      <w:instrText xml:space="preserve">PAGE   \* MERGEFORMAT</w:instrText>
    </w:r>
    <w:r>
      <w:fldChar w:fldCharType="separate"/>
    </w:r>
    <w:r>
      <w:rPr>
        <w:lang w:val="zh-CN"/>
      </w:rPr>
      <w:t>II</w:t>
    </w:r>
    <w: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right" w:y="1"/>
      <w:rPr>
        <w:rStyle w:val="40"/>
      </w:rPr>
    </w:pPr>
    <w:r>
      <w:rPr>
        <w:rStyle w:val="40"/>
      </w:rPr>
      <w:t xml:space="preserve">PAGE  </w:t>
    </w:r>
  </w:p>
  <w:p>
    <w:pPr>
      <w:pStyle w:val="24"/>
    </w:pPr>
    <w:r>
      <w:rPr>
        <w:rStyle w:val="40"/>
        <w:rFonts w:hint="eastAsia"/>
      </w:rPr>
      <w:t>II</w:t>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PAGE   \* MERGEFORMAT</w:instrText>
    </w:r>
    <w:r>
      <w:fldChar w:fldCharType="separate"/>
    </w:r>
    <w:r>
      <w:t>III</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right" w:y="1"/>
      <w:rPr>
        <w:rStyle w:val="40"/>
      </w:rPr>
    </w:pPr>
    <w:r>
      <w:rPr>
        <w:rStyle w:val="40"/>
      </w:rPr>
      <w:t xml:space="preserve">PAGE  </w:t>
    </w:r>
  </w:p>
  <w:p>
    <w:pPr>
      <w:pStyle w:val="24"/>
    </w:pPr>
    <w:r>
      <w:rPr>
        <w:rStyle w:val="40"/>
        <w:rFonts w:hint="eastAsia"/>
      </w:rPr>
      <w:t>II</w:t>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fldChar w:fldCharType="begin"/>
    </w:r>
    <w:r>
      <w:instrText xml:space="preserve">PAGE   \* MERGEFORMAT</w:instrText>
    </w:r>
    <w:r>
      <w:fldChar w:fldCharType="separate"/>
    </w:r>
    <w:r>
      <w:rPr>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fldChar w:fldCharType="begin"/>
    </w:r>
    <w:r>
      <w:instrText xml:space="preserve">PAGE   \* MERGEFORMAT</w:instrText>
    </w:r>
    <w:r>
      <w:fldChar w:fldCharType="separate"/>
    </w:r>
    <w:r>
      <w:rPr>
        <w:lang w:val="zh-CN"/>
      </w:rPr>
      <w:t>IV</w:t>
    </w:r>
    <w:r>
      <w:fldChar w:fldCharType="end"/>
    </w: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fldChar w:fldCharType="begin"/>
    </w:r>
    <w:r>
      <w:instrText xml:space="preserve"> PAGE   \* MERGEFORMAT </w:instrText>
    </w:r>
    <w:r>
      <w:fldChar w:fldCharType="separate"/>
    </w:r>
    <w:r>
      <w:rPr>
        <w:lang w:val="zh-CN"/>
      </w:rPr>
      <w:t>25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rFonts w:hint="eastAsia"/>
      </w:rPr>
      <w:t>中国南方电网有限责任公司10kV电力电缆（铝合金芯）技术规范书（通用部分）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/GD1 1130.12-2009</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rFonts w:hint="eastAsia"/>
      </w:rPr>
      <w:t>中国南方电网有限责任公司10kV冷缩型电缆附件技术规范书（通用部分）</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/GD1 1130.12-2009</w:t>
    </w: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6"/>
    <w:multiLevelType w:val="multilevel"/>
    <w:tmpl w:val="00000016"/>
    <w:lvl w:ilvl="0" w:tentative="0">
      <w:start w:val="1"/>
      <w:numFmt w:val="decimal"/>
      <w:lvlText w:val="%1"/>
      <w:lvlJc w:val="left"/>
      <w:pPr>
        <w:tabs>
          <w:tab w:val="left" w:pos="425"/>
        </w:tabs>
        <w:ind w:left="425" w:hanging="425"/>
      </w:pPr>
      <w:rPr>
        <w:rFonts w:hint="eastAsia"/>
        <w:b/>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127F5523"/>
    <w:multiLevelType w:val="multilevel"/>
    <w:tmpl w:val="127F5523"/>
    <w:lvl w:ilvl="0" w:tentative="0">
      <w:start w:val="1"/>
      <w:numFmt w:val="lowerLetter"/>
      <w:lvlText w:val="%1）"/>
      <w:lvlJc w:val="left"/>
      <w:pPr>
        <w:ind w:left="840" w:hanging="420"/>
      </w:pPr>
      <w:rPr>
        <w:rFonts w:hint="eastAsia" w:ascii="Times New Roman" w:hAnsi="Times New Roman" w:eastAsia="宋体" w:cs="Times New Roman"/>
      </w:rPr>
    </w:lvl>
    <w:lvl w:ilvl="1" w:tentative="0">
      <w:start w:val="1"/>
      <w:numFmt w:val="decimal"/>
      <w:lvlText w:val="%2）"/>
      <w:lvlJc w:val="left"/>
      <w:pPr>
        <w:ind w:left="1260" w:hanging="4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8533A74"/>
    <w:multiLevelType w:val="multilevel"/>
    <w:tmpl w:val="28533A74"/>
    <w:lvl w:ilvl="0" w:tentative="0">
      <w:start w:val="1"/>
      <w:numFmt w:val="lowerLetter"/>
      <w:lvlText w:val="%1）"/>
      <w:lvlJc w:val="left"/>
      <w:pPr>
        <w:ind w:left="840" w:hanging="420"/>
      </w:pPr>
      <w:rPr>
        <w:rFonts w:hint="eastAsia" w:ascii="Times New Roman" w:hAnsi="Times New Roman" w:eastAsia="宋体" w:cs="Times New Roman"/>
      </w:rPr>
    </w:lvl>
    <w:lvl w:ilvl="1" w:tentative="0">
      <w:start w:val="1"/>
      <w:numFmt w:val="lowerLetter"/>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26D4876"/>
    <w:multiLevelType w:val="multilevel"/>
    <w:tmpl w:val="326D4876"/>
    <w:lvl w:ilvl="0" w:tentative="0">
      <w:start w:val="1"/>
      <w:numFmt w:val="lowerLetter"/>
      <w:lvlText w:val="%1）"/>
      <w:lvlJc w:val="left"/>
      <w:pPr>
        <w:ind w:left="840" w:hanging="420"/>
      </w:pPr>
      <w:rPr>
        <w:rFonts w:hint="eastAsia" w:ascii="Times New Roman" w:hAnsi="Times New Roman" w:eastAsia="宋体"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4E220F4"/>
    <w:multiLevelType w:val="multilevel"/>
    <w:tmpl w:val="54E220F4"/>
    <w:lvl w:ilvl="0" w:tentative="0">
      <w:start w:val="1"/>
      <w:numFmt w:val="lowerLetter"/>
      <w:lvlText w:val="%1）"/>
      <w:lvlJc w:val="left"/>
      <w:pPr>
        <w:ind w:left="840" w:hanging="420"/>
      </w:pPr>
      <w:rPr>
        <w:rFonts w:hint="eastAsia" w:ascii="Times New Roman" w:hAnsi="Times New Roman" w:eastAsia="宋体"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91A"/>
    <w:rsid w:val="000111AB"/>
    <w:rsid w:val="00015179"/>
    <w:rsid w:val="0002523C"/>
    <w:rsid w:val="00031984"/>
    <w:rsid w:val="00033EE5"/>
    <w:rsid w:val="00040840"/>
    <w:rsid w:val="00043C8E"/>
    <w:rsid w:val="00053624"/>
    <w:rsid w:val="000567B8"/>
    <w:rsid w:val="000667BD"/>
    <w:rsid w:val="00091D84"/>
    <w:rsid w:val="000A3B5D"/>
    <w:rsid w:val="000A5153"/>
    <w:rsid w:val="000B330E"/>
    <w:rsid w:val="000C24E2"/>
    <w:rsid w:val="000D4FEB"/>
    <w:rsid w:val="000D7D48"/>
    <w:rsid w:val="000F116C"/>
    <w:rsid w:val="000F7B1D"/>
    <w:rsid w:val="001004BE"/>
    <w:rsid w:val="0010224D"/>
    <w:rsid w:val="00104798"/>
    <w:rsid w:val="00122927"/>
    <w:rsid w:val="00140EF6"/>
    <w:rsid w:val="00144890"/>
    <w:rsid w:val="00152F5C"/>
    <w:rsid w:val="001552F1"/>
    <w:rsid w:val="00172A27"/>
    <w:rsid w:val="00180AF9"/>
    <w:rsid w:val="00180B0A"/>
    <w:rsid w:val="00180CCB"/>
    <w:rsid w:val="00183645"/>
    <w:rsid w:val="0018735C"/>
    <w:rsid w:val="0019258C"/>
    <w:rsid w:val="001A2D80"/>
    <w:rsid w:val="001A4215"/>
    <w:rsid w:val="001C5B35"/>
    <w:rsid w:val="001E0625"/>
    <w:rsid w:val="0020169B"/>
    <w:rsid w:val="00202C9E"/>
    <w:rsid w:val="00205421"/>
    <w:rsid w:val="002118A6"/>
    <w:rsid w:val="002209F8"/>
    <w:rsid w:val="00221358"/>
    <w:rsid w:val="00223F5A"/>
    <w:rsid w:val="002441C9"/>
    <w:rsid w:val="0024449D"/>
    <w:rsid w:val="00247A29"/>
    <w:rsid w:val="00263D99"/>
    <w:rsid w:val="00276F0C"/>
    <w:rsid w:val="00280EF2"/>
    <w:rsid w:val="002849CE"/>
    <w:rsid w:val="00290E06"/>
    <w:rsid w:val="00294196"/>
    <w:rsid w:val="002A2CF4"/>
    <w:rsid w:val="002C3F80"/>
    <w:rsid w:val="002C75A2"/>
    <w:rsid w:val="002D4FAD"/>
    <w:rsid w:val="002D545A"/>
    <w:rsid w:val="002E1CE8"/>
    <w:rsid w:val="002E277E"/>
    <w:rsid w:val="002F4ADA"/>
    <w:rsid w:val="002F5D88"/>
    <w:rsid w:val="002F7E9D"/>
    <w:rsid w:val="003019A2"/>
    <w:rsid w:val="00325F4C"/>
    <w:rsid w:val="003278C8"/>
    <w:rsid w:val="0033233C"/>
    <w:rsid w:val="00365DD5"/>
    <w:rsid w:val="003A0A8D"/>
    <w:rsid w:val="003A6D28"/>
    <w:rsid w:val="003A7F4B"/>
    <w:rsid w:val="003C384B"/>
    <w:rsid w:val="003D4A38"/>
    <w:rsid w:val="003D711C"/>
    <w:rsid w:val="003D711E"/>
    <w:rsid w:val="003E4808"/>
    <w:rsid w:val="003F203E"/>
    <w:rsid w:val="003F2D9C"/>
    <w:rsid w:val="003F75AE"/>
    <w:rsid w:val="00406F3E"/>
    <w:rsid w:val="00414AB8"/>
    <w:rsid w:val="004255F2"/>
    <w:rsid w:val="00434BCD"/>
    <w:rsid w:val="00443D51"/>
    <w:rsid w:val="00452512"/>
    <w:rsid w:val="00453C14"/>
    <w:rsid w:val="004621EC"/>
    <w:rsid w:val="00464F2E"/>
    <w:rsid w:val="00473E01"/>
    <w:rsid w:val="00477F57"/>
    <w:rsid w:val="00482128"/>
    <w:rsid w:val="00492ED9"/>
    <w:rsid w:val="00492FFF"/>
    <w:rsid w:val="004B372E"/>
    <w:rsid w:val="004C7FCB"/>
    <w:rsid w:val="004D0FE9"/>
    <w:rsid w:val="004D680F"/>
    <w:rsid w:val="004E48D1"/>
    <w:rsid w:val="004E5775"/>
    <w:rsid w:val="005108E9"/>
    <w:rsid w:val="005137CD"/>
    <w:rsid w:val="005251C1"/>
    <w:rsid w:val="00533B08"/>
    <w:rsid w:val="00560A97"/>
    <w:rsid w:val="0056120A"/>
    <w:rsid w:val="00567661"/>
    <w:rsid w:val="00582BF1"/>
    <w:rsid w:val="005930F8"/>
    <w:rsid w:val="005B30CF"/>
    <w:rsid w:val="005B6805"/>
    <w:rsid w:val="005C45F1"/>
    <w:rsid w:val="005D120D"/>
    <w:rsid w:val="005D18FE"/>
    <w:rsid w:val="005F1B51"/>
    <w:rsid w:val="005F2CCB"/>
    <w:rsid w:val="005F69E5"/>
    <w:rsid w:val="00636B90"/>
    <w:rsid w:val="00642A70"/>
    <w:rsid w:val="006753EF"/>
    <w:rsid w:val="0069078D"/>
    <w:rsid w:val="006A32FA"/>
    <w:rsid w:val="006B05A4"/>
    <w:rsid w:val="006B5395"/>
    <w:rsid w:val="006B7021"/>
    <w:rsid w:val="006D0CF9"/>
    <w:rsid w:val="006D4BBB"/>
    <w:rsid w:val="007020EE"/>
    <w:rsid w:val="00703D24"/>
    <w:rsid w:val="007108A8"/>
    <w:rsid w:val="00713147"/>
    <w:rsid w:val="007217B8"/>
    <w:rsid w:val="00730B41"/>
    <w:rsid w:val="00733D5E"/>
    <w:rsid w:val="0073496A"/>
    <w:rsid w:val="00735F4E"/>
    <w:rsid w:val="0074437C"/>
    <w:rsid w:val="00787C19"/>
    <w:rsid w:val="00792081"/>
    <w:rsid w:val="00793BD8"/>
    <w:rsid w:val="007956A8"/>
    <w:rsid w:val="00796578"/>
    <w:rsid w:val="007B5CD3"/>
    <w:rsid w:val="007D1973"/>
    <w:rsid w:val="007E1152"/>
    <w:rsid w:val="00810AB3"/>
    <w:rsid w:val="00817AEB"/>
    <w:rsid w:val="00824A52"/>
    <w:rsid w:val="00833FAD"/>
    <w:rsid w:val="008344BC"/>
    <w:rsid w:val="00856269"/>
    <w:rsid w:val="0088268F"/>
    <w:rsid w:val="00886CA0"/>
    <w:rsid w:val="008B2F31"/>
    <w:rsid w:val="008C4379"/>
    <w:rsid w:val="008D6CC2"/>
    <w:rsid w:val="008E525F"/>
    <w:rsid w:val="008F1B1F"/>
    <w:rsid w:val="00914507"/>
    <w:rsid w:val="009163DE"/>
    <w:rsid w:val="00922D1C"/>
    <w:rsid w:val="009252BD"/>
    <w:rsid w:val="00933ADC"/>
    <w:rsid w:val="00936EDD"/>
    <w:rsid w:val="00954868"/>
    <w:rsid w:val="009570C2"/>
    <w:rsid w:val="00965784"/>
    <w:rsid w:val="009714AD"/>
    <w:rsid w:val="00971A05"/>
    <w:rsid w:val="00983263"/>
    <w:rsid w:val="009833D3"/>
    <w:rsid w:val="009B63CB"/>
    <w:rsid w:val="009C6780"/>
    <w:rsid w:val="009E2B71"/>
    <w:rsid w:val="009F3F81"/>
    <w:rsid w:val="009F5F08"/>
    <w:rsid w:val="00A0296F"/>
    <w:rsid w:val="00A1297A"/>
    <w:rsid w:val="00A14C4A"/>
    <w:rsid w:val="00A20E3E"/>
    <w:rsid w:val="00A35D48"/>
    <w:rsid w:val="00A44E46"/>
    <w:rsid w:val="00A46E25"/>
    <w:rsid w:val="00A544BC"/>
    <w:rsid w:val="00A62528"/>
    <w:rsid w:val="00A764D5"/>
    <w:rsid w:val="00A80C68"/>
    <w:rsid w:val="00AB1390"/>
    <w:rsid w:val="00AB14D5"/>
    <w:rsid w:val="00AB482C"/>
    <w:rsid w:val="00AB5681"/>
    <w:rsid w:val="00AC2BF2"/>
    <w:rsid w:val="00AD0EDE"/>
    <w:rsid w:val="00AD166D"/>
    <w:rsid w:val="00AD3101"/>
    <w:rsid w:val="00AD615C"/>
    <w:rsid w:val="00AE0979"/>
    <w:rsid w:val="00AE4D2C"/>
    <w:rsid w:val="00AF19C7"/>
    <w:rsid w:val="00AF7391"/>
    <w:rsid w:val="00B063B0"/>
    <w:rsid w:val="00B10690"/>
    <w:rsid w:val="00B16188"/>
    <w:rsid w:val="00B2032A"/>
    <w:rsid w:val="00B3766A"/>
    <w:rsid w:val="00B415EB"/>
    <w:rsid w:val="00B42018"/>
    <w:rsid w:val="00B573A7"/>
    <w:rsid w:val="00B67413"/>
    <w:rsid w:val="00B82D31"/>
    <w:rsid w:val="00B90F72"/>
    <w:rsid w:val="00BA0022"/>
    <w:rsid w:val="00BA66DD"/>
    <w:rsid w:val="00BB4F5A"/>
    <w:rsid w:val="00BC0BCB"/>
    <w:rsid w:val="00BC19E3"/>
    <w:rsid w:val="00BD1604"/>
    <w:rsid w:val="00BD227D"/>
    <w:rsid w:val="00BD4918"/>
    <w:rsid w:val="00BE3126"/>
    <w:rsid w:val="00BE452D"/>
    <w:rsid w:val="00BF009B"/>
    <w:rsid w:val="00BF0F23"/>
    <w:rsid w:val="00C05BA1"/>
    <w:rsid w:val="00C15070"/>
    <w:rsid w:val="00C15D16"/>
    <w:rsid w:val="00C25307"/>
    <w:rsid w:val="00C31CF5"/>
    <w:rsid w:val="00C44073"/>
    <w:rsid w:val="00C5075E"/>
    <w:rsid w:val="00C65EE7"/>
    <w:rsid w:val="00C81C33"/>
    <w:rsid w:val="00C95FDF"/>
    <w:rsid w:val="00C9625A"/>
    <w:rsid w:val="00CA5952"/>
    <w:rsid w:val="00CB2D09"/>
    <w:rsid w:val="00CB4809"/>
    <w:rsid w:val="00CB693B"/>
    <w:rsid w:val="00CC4343"/>
    <w:rsid w:val="00CC7837"/>
    <w:rsid w:val="00CD07B6"/>
    <w:rsid w:val="00CD3AA6"/>
    <w:rsid w:val="00CD675E"/>
    <w:rsid w:val="00CD7A27"/>
    <w:rsid w:val="00CE6C11"/>
    <w:rsid w:val="00CF3122"/>
    <w:rsid w:val="00CF68DB"/>
    <w:rsid w:val="00D07BF5"/>
    <w:rsid w:val="00D25EB8"/>
    <w:rsid w:val="00D27642"/>
    <w:rsid w:val="00D27E19"/>
    <w:rsid w:val="00D33624"/>
    <w:rsid w:val="00D3393B"/>
    <w:rsid w:val="00D36C8F"/>
    <w:rsid w:val="00D537A9"/>
    <w:rsid w:val="00D55777"/>
    <w:rsid w:val="00D604EF"/>
    <w:rsid w:val="00D70F21"/>
    <w:rsid w:val="00D71D03"/>
    <w:rsid w:val="00D8006E"/>
    <w:rsid w:val="00D90118"/>
    <w:rsid w:val="00DA26F0"/>
    <w:rsid w:val="00DA7D15"/>
    <w:rsid w:val="00DE280C"/>
    <w:rsid w:val="00DE3940"/>
    <w:rsid w:val="00DF0483"/>
    <w:rsid w:val="00DF0D7D"/>
    <w:rsid w:val="00DF5191"/>
    <w:rsid w:val="00E469CD"/>
    <w:rsid w:val="00E61DA7"/>
    <w:rsid w:val="00E74C7E"/>
    <w:rsid w:val="00E9677B"/>
    <w:rsid w:val="00EC405A"/>
    <w:rsid w:val="00ED0E89"/>
    <w:rsid w:val="00EE186A"/>
    <w:rsid w:val="00EE28F2"/>
    <w:rsid w:val="00EE71EA"/>
    <w:rsid w:val="00EF2DF9"/>
    <w:rsid w:val="00EF4D96"/>
    <w:rsid w:val="00F26A7D"/>
    <w:rsid w:val="00F838BD"/>
    <w:rsid w:val="00F92DC9"/>
    <w:rsid w:val="00FB284A"/>
    <w:rsid w:val="00FC1293"/>
    <w:rsid w:val="00FC1DD7"/>
    <w:rsid w:val="00FC51E9"/>
    <w:rsid w:val="00FD44D7"/>
    <w:rsid w:val="00FE1553"/>
    <w:rsid w:val="00FE1C61"/>
    <w:rsid w:val="00FF2867"/>
    <w:rsid w:val="00FF40D9"/>
    <w:rsid w:val="02AE27C8"/>
    <w:rsid w:val="07F60F64"/>
    <w:rsid w:val="0B8D3582"/>
    <w:rsid w:val="116F4E13"/>
    <w:rsid w:val="1D1E3329"/>
    <w:rsid w:val="1D985D1B"/>
    <w:rsid w:val="1F2D7042"/>
    <w:rsid w:val="1F8A06F2"/>
    <w:rsid w:val="281074A3"/>
    <w:rsid w:val="2E066981"/>
    <w:rsid w:val="2EAE7374"/>
    <w:rsid w:val="31137412"/>
    <w:rsid w:val="316C7789"/>
    <w:rsid w:val="3A10784A"/>
    <w:rsid w:val="43182E07"/>
    <w:rsid w:val="43861BB5"/>
    <w:rsid w:val="46215BEB"/>
    <w:rsid w:val="4D332132"/>
    <w:rsid w:val="50D85D71"/>
    <w:rsid w:val="52BA2096"/>
    <w:rsid w:val="59FA557F"/>
    <w:rsid w:val="5B073AA0"/>
    <w:rsid w:val="5E947EE1"/>
    <w:rsid w:val="5FBB1472"/>
    <w:rsid w:val="671355CE"/>
    <w:rsid w:val="68DE34BD"/>
    <w:rsid w:val="6ED27ADF"/>
    <w:rsid w:val="71386FB2"/>
    <w:rsid w:val="715A3C37"/>
    <w:rsid w:val="7201003D"/>
    <w:rsid w:val="7409326A"/>
    <w:rsid w:val="764D49D1"/>
    <w:rsid w:val="78EA4725"/>
    <w:rsid w:val="79A61DF2"/>
    <w:rsid w:val="7AD21746"/>
    <w:rsid w:val="7B2F1DA8"/>
    <w:rsid w:val="7C3F7512"/>
    <w:rsid w:val="7CC22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6"/>
    <w:qFormat/>
    <w:uiPriority w:val="0"/>
    <w:pPr>
      <w:keepNext/>
      <w:keepLines/>
      <w:snapToGrid w:val="0"/>
      <w:spacing w:beforeLines="100" w:line="360" w:lineRule="auto"/>
      <w:outlineLvl w:val="0"/>
    </w:pPr>
    <w:rPr>
      <w:rFonts w:ascii="宋体"/>
      <w:b/>
      <w:bCs/>
      <w:kern w:val="44"/>
      <w:szCs w:val="21"/>
    </w:rPr>
  </w:style>
  <w:style w:type="paragraph" w:styleId="3">
    <w:name w:val="heading 2"/>
    <w:basedOn w:val="1"/>
    <w:next w:val="1"/>
    <w:link w:val="160"/>
    <w:qFormat/>
    <w:uiPriority w:val="0"/>
    <w:pPr>
      <w:keepLines/>
      <w:adjustRightInd w:val="0"/>
      <w:snapToGrid w:val="0"/>
      <w:spacing w:line="360" w:lineRule="auto"/>
      <w:outlineLvl w:val="1"/>
    </w:pPr>
    <w:rPr>
      <w:rFonts w:ascii="宋体"/>
      <w:bCs/>
      <w:szCs w:val="21"/>
    </w:rPr>
  </w:style>
  <w:style w:type="paragraph" w:styleId="4">
    <w:name w:val="heading 3"/>
    <w:basedOn w:val="1"/>
    <w:next w:val="1"/>
    <w:link w:val="163"/>
    <w:qFormat/>
    <w:uiPriority w:val="0"/>
    <w:pPr>
      <w:tabs>
        <w:tab w:val="left" w:pos="1560"/>
      </w:tabs>
      <w:snapToGrid w:val="0"/>
      <w:spacing w:line="360" w:lineRule="auto"/>
      <w:ind w:left="284"/>
      <w:outlineLvl w:val="2"/>
    </w:pPr>
    <w:rPr>
      <w:rFonts w:ascii="宋体"/>
      <w:bCs/>
      <w:szCs w:val="21"/>
    </w:rPr>
  </w:style>
  <w:style w:type="paragraph" w:styleId="5">
    <w:name w:val="heading 4"/>
    <w:basedOn w:val="1"/>
    <w:next w:val="1"/>
    <w:link w:val="157"/>
    <w:qFormat/>
    <w:uiPriority w:val="0"/>
    <w:pPr>
      <w:spacing w:line="360" w:lineRule="auto"/>
      <w:outlineLvl w:val="3"/>
    </w:pPr>
    <w:rPr>
      <w:rFonts w:ascii="宋体"/>
      <w:bCs/>
      <w:kern w:val="0"/>
      <w:sz w:val="20"/>
      <w:szCs w:val="21"/>
    </w:rPr>
  </w:style>
  <w:style w:type="paragraph" w:styleId="6">
    <w:name w:val="heading 5"/>
    <w:basedOn w:val="1"/>
    <w:next w:val="1"/>
    <w:link w:val="174"/>
    <w:qFormat/>
    <w:uiPriority w:val="0"/>
    <w:pPr>
      <w:keepNext/>
      <w:keepLines/>
      <w:adjustRightInd w:val="0"/>
      <w:spacing w:line="360" w:lineRule="auto"/>
      <w:ind w:right="100" w:rightChars="100"/>
      <w:textAlignment w:val="baseline"/>
      <w:outlineLvl w:val="4"/>
    </w:pPr>
    <w:rPr>
      <w:bCs/>
      <w:kern w:val="0"/>
      <w:sz w:val="20"/>
      <w:szCs w:val="21"/>
    </w:rPr>
  </w:style>
  <w:style w:type="paragraph" w:styleId="7">
    <w:name w:val="heading 6"/>
    <w:basedOn w:val="1"/>
    <w:next w:val="1"/>
    <w:link w:val="176"/>
    <w:qFormat/>
    <w:uiPriority w:val="0"/>
    <w:pPr>
      <w:keepNext/>
      <w:keepLines/>
      <w:spacing w:before="240" w:after="64" w:line="317" w:lineRule="auto"/>
      <w:outlineLvl w:val="5"/>
    </w:pPr>
    <w:rPr>
      <w:rFonts w:ascii="Arial" w:hAnsi="Arial" w:eastAsia="黑体"/>
      <w:b/>
      <w:bCs/>
      <w:kern w:val="0"/>
      <w:sz w:val="24"/>
    </w:rPr>
  </w:style>
  <w:style w:type="paragraph" w:styleId="8">
    <w:name w:val="heading 7"/>
    <w:basedOn w:val="1"/>
    <w:next w:val="1"/>
    <w:link w:val="161"/>
    <w:qFormat/>
    <w:uiPriority w:val="0"/>
    <w:pPr>
      <w:keepNext/>
      <w:keepLines/>
      <w:spacing w:before="240" w:after="64" w:line="317" w:lineRule="auto"/>
      <w:outlineLvl w:val="6"/>
    </w:pPr>
    <w:rPr>
      <w:b/>
      <w:bCs/>
      <w:kern w:val="0"/>
      <w:sz w:val="24"/>
    </w:rPr>
  </w:style>
  <w:style w:type="paragraph" w:styleId="9">
    <w:name w:val="heading 8"/>
    <w:basedOn w:val="1"/>
    <w:next w:val="1"/>
    <w:link w:val="155"/>
    <w:qFormat/>
    <w:uiPriority w:val="0"/>
    <w:pPr>
      <w:keepNext/>
      <w:keepLines/>
      <w:spacing w:before="240" w:after="64" w:line="317" w:lineRule="auto"/>
      <w:outlineLvl w:val="7"/>
    </w:pPr>
    <w:rPr>
      <w:rFonts w:ascii="Arial" w:hAnsi="Arial" w:eastAsia="黑体"/>
      <w:kern w:val="0"/>
      <w:sz w:val="24"/>
    </w:rPr>
  </w:style>
  <w:style w:type="paragraph" w:styleId="10">
    <w:name w:val="heading 9"/>
    <w:basedOn w:val="1"/>
    <w:next w:val="1"/>
    <w:link w:val="158"/>
    <w:qFormat/>
    <w:uiPriority w:val="0"/>
    <w:pPr>
      <w:keepNext/>
      <w:keepLines/>
      <w:spacing w:before="240" w:after="64" w:line="317" w:lineRule="auto"/>
      <w:outlineLvl w:val="8"/>
    </w:pPr>
    <w:rPr>
      <w:rFonts w:ascii="Arial" w:hAnsi="Arial" w:eastAsia="黑体"/>
      <w:kern w:val="0"/>
      <w:sz w:val="20"/>
      <w:szCs w:val="21"/>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link w:val="173"/>
    <w:qFormat/>
    <w:uiPriority w:val="0"/>
    <w:pPr>
      <w:spacing w:line="360" w:lineRule="auto"/>
      <w:ind w:firstLine="420" w:firstLineChars="200"/>
    </w:pPr>
    <w:rPr>
      <w:kern w:val="0"/>
      <w:sz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172"/>
    <w:qFormat/>
    <w:uiPriority w:val="0"/>
    <w:rPr>
      <w:rFonts w:ascii="宋体"/>
      <w:kern w:val="0"/>
      <w:sz w:val="18"/>
      <w:szCs w:val="18"/>
    </w:rPr>
  </w:style>
  <w:style w:type="paragraph" w:styleId="15">
    <w:name w:val="annotation text"/>
    <w:basedOn w:val="1"/>
    <w:link w:val="170"/>
    <w:qFormat/>
    <w:uiPriority w:val="0"/>
    <w:pPr>
      <w:jc w:val="left"/>
    </w:pPr>
    <w:rPr>
      <w:kern w:val="0"/>
      <w:sz w:val="20"/>
    </w:rPr>
  </w:style>
  <w:style w:type="paragraph" w:styleId="16">
    <w:name w:val="HTML Address"/>
    <w:basedOn w:val="1"/>
    <w:link w:val="143"/>
    <w:qFormat/>
    <w:uiPriority w:val="0"/>
    <w:rPr>
      <w:i/>
      <w:iCs/>
      <w:kern w:val="0"/>
      <w:sz w:val="20"/>
    </w:r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Plain Text"/>
    <w:basedOn w:val="1"/>
    <w:link w:val="153"/>
    <w:qFormat/>
    <w:uiPriority w:val="0"/>
    <w:rPr>
      <w:rFonts w:ascii="宋体" w:hAnsi="Courier New"/>
      <w:kern w:val="0"/>
      <w:sz w:val="20"/>
    </w:rPr>
  </w:style>
  <w:style w:type="paragraph" w:styleId="20">
    <w:name w:val="toc 8"/>
    <w:basedOn w:val="1"/>
    <w:next w:val="1"/>
    <w:qFormat/>
    <w:uiPriority w:val="0"/>
    <w:pPr>
      <w:ind w:left="2940" w:leftChars="1400"/>
    </w:pPr>
  </w:style>
  <w:style w:type="paragraph" w:styleId="21">
    <w:name w:val="Date"/>
    <w:basedOn w:val="1"/>
    <w:next w:val="1"/>
    <w:link w:val="154"/>
    <w:qFormat/>
    <w:uiPriority w:val="0"/>
    <w:pPr>
      <w:adjustRightInd w:val="0"/>
      <w:spacing w:line="300" w:lineRule="auto"/>
      <w:textAlignment w:val="baseline"/>
    </w:pPr>
    <w:rPr>
      <w:rFonts w:ascii="仿宋_GB2312" w:eastAsia="仿宋_GB2312"/>
      <w:kern w:val="0"/>
      <w:sz w:val="24"/>
      <w:szCs w:val="20"/>
    </w:rPr>
  </w:style>
  <w:style w:type="paragraph" w:styleId="22">
    <w:name w:val="Body Text Indent 2"/>
    <w:basedOn w:val="1"/>
    <w:link w:val="149"/>
    <w:qFormat/>
    <w:uiPriority w:val="0"/>
    <w:pPr>
      <w:adjustRightInd w:val="0"/>
      <w:spacing w:before="120" w:line="300" w:lineRule="auto"/>
      <w:ind w:firstLine="480"/>
      <w:jc w:val="left"/>
      <w:textAlignment w:val="baseline"/>
    </w:pPr>
    <w:rPr>
      <w:rFonts w:eastAsia="仿宋_GB2312"/>
      <w:kern w:val="0"/>
      <w:sz w:val="28"/>
      <w:szCs w:val="20"/>
    </w:rPr>
  </w:style>
  <w:style w:type="paragraph" w:styleId="23">
    <w:name w:val="Balloon Text"/>
    <w:basedOn w:val="1"/>
    <w:link w:val="164"/>
    <w:qFormat/>
    <w:uiPriority w:val="0"/>
    <w:rPr>
      <w:kern w:val="0"/>
      <w:sz w:val="18"/>
      <w:szCs w:val="18"/>
    </w:rPr>
  </w:style>
  <w:style w:type="paragraph" w:styleId="24">
    <w:name w:val="footer"/>
    <w:basedOn w:val="1"/>
    <w:link w:val="162"/>
    <w:qFormat/>
    <w:uiPriority w:val="99"/>
    <w:pPr>
      <w:tabs>
        <w:tab w:val="center" w:pos="4153"/>
        <w:tab w:val="right" w:pos="8306"/>
      </w:tabs>
      <w:snapToGrid w:val="0"/>
      <w:jc w:val="center"/>
    </w:pPr>
    <w:rPr>
      <w:kern w:val="0"/>
      <w:sz w:val="18"/>
      <w:szCs w:val="18"/>
    </w:rPr>
  </w:style>
  <w:style w:type="paragraph" w:styleId="25">
    <w:name w:val="header"/>
    <w:basedOn w:val="1"/>
    <w:link w:val="168"/>
    <w:qFormat/>
    <w:uiPriority w:val="0"/>
    <w:pPr>
      <w:pBdr>
        <w:bottom w:val="single" w:color="auto" w:sz="6" w:space="1"/>
      </w:pBdr>
      <w:tabs>
        <w:tab w:val="center" w:pos="4153"/>
        <w:tab w:val="right" w:pos="8306"/>
      </w:tabs>
      <w:snapToGrid w:val="0"/>
      <w:jc w:val="center"/>
    </w:pPr>
    <w:rPr>
      <w:kern w:val="0"/>
      <w:sz w:val="18"/>
      <w:szCs w:val="18"/>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footnote text"/>
    <w:basedOn w:val="1"/>
    <w:link w:val="159"/>
    <w:qFormat/>
    <w:uiPriority w:val="0"/>
    <w:pPr>
      <w:snapToGrid w:val="0"/>
      <w:jc w:val="left"/>
    </w:pPr>
    <w:rPr>
      <w:kern w:val="0"/>
      <w:sz w:val="18"/>
      <w:szCs w:val="18"/>
    </w:rPr>
  </w:style>
  <w:style w:type="paragraph" w:styleId="29">
    <w:name w:val="toc 6"/>
    <w:basedOn w:val="1"/>
    <w:next w:val="1"/>
    <w:qFormat/>
    <w:uiPriority w:val="0"/>
    <w:pPr>
      <w:ind w:left="2100" w:leftChars="1000"/>
    </w:pPr>
  </w:style>
  <w:style w:type="paragraph" w:styleId="30">
    <w:name w:val="Body Text Indent 3"/>
    <w:basedOn w:val="1"/>
    <w:link w:val="178"/>
    <w:qFormat/>
    <w:uiPriority w:val="0"/>
    <w:pPr>
      <w:spacing w:after="120"/>
      <w:ind w:left="420" w:leftChars="200"/>
    </w:pPr>
    <w:rPr>
      <w:kern w:val="0"/>
      <w:sz w:val="16"/>
      <w:szCs w:val="16"/>
    </w:rPr>
  </w:style>
  <w:style w:type="paragraph" w:styleId="31">
    <w:name w:val="toc 2"/>
    <w:basedOn w:val="1"/>
    <w:next w:val="1"/>
    <w:qFormat/>
    <w:uiPriority w:val="39"/>
    <w:pPr>
      <w:ind w:left="420" w:leftChars="200"/>
    </w:pPr>
  </w:style>
  <w:style w:type="paragraph" w:styleId="32">
    <w:name w:val="toc 9"/>
    <w:basedOn w:val="1"/>
    <w:next w:val="1"/>
    <w:qFormat/>
    <w:uiPriority w:val="0"/>
    <w:pPr>
      <w:ind w:left="3360" w:leftChars="1600"/>
    </w:pPr>
  </w:style>
  <w:style w:type="paragraph" w:styleId="33">
    <w:name w:val="List 4"/>
    <w:basedOn w:val="1"/>
    <w:qFormat/>
    <w:uiPriority w:val="0"/>
    <w:pPr>
      <w:ind w:left="100" w:leftChars="600" w:hanging="200" w:hangingChars="200"/>
    </w:pPr>
  </w:style>
  <w:style w:type="paragraph" w:styleId="34">
    <w:name w:val="HTML Preformatted"/>
    <w:basedOn w:val="1"/>
    <w:link w:val="148"/>
    <w:qFormat/>
    <w:uiPriority w:val="0"/>
    <w:rPr>
      <w:rFonts w:ascii="Courier New" w:hAnsi="Courier New"/>
      <w:kern w:val="0"/>
      <w:sz w:val="20"/>
      <w:szCs w:val="20"/>
    </w:rPr>
  </w:style>
  <w:style w:type="paragraph" w:styleId="3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link w:val="171"/>
    <w:qFormat/>
    <w:uiPriority w:val="0"/>
    <w:pPr>
      <w:spacing w:before="240" w:after="60"/>
      <w:jc w:val="center"/>
      <w:outlineLvl w:val="0"/>
    </w:pPr>
    <w:rPr>
      <w:rFonts w:ascii="Arial" w:hAnsi="Arial"/>
      <w:b/>
      <w:bCs/>
      <w:kern w:val="0"/>
      <w:sz w:val="32"/>
      <w:szCs w:val="32"/>
    </w:rPr>
  </w:style>
  <w:style w:type="paragraph" w:styleId="37">
    <w:name w:val="annotation subject"/>
    <w:basedOn w:val="15"/>
    <w:next w:val="15"/>
    <w:link w:val="167"/>
    <w:qFormat/>
    <w:uiPriority w:val="0"/>
    <w:rPr>
      <w:b/>
      <w:bCs/>
    </w:rPr>
  </w:style>
  <w:style w:type="character" w:styleId="40">
    <w:name w:val="page number"/>
    <w:basedOn w:val="39"/>
    <w:qFormat/>
    <w:uiPriority w:val="0"/>
  </w:style>
  <w:style w:type="character" w:styleId="41">
    <w:name w:val="FollowedHyperlink"/>
    <w:qFormat/>
    <w:uiPriority w:val="0"/>
    <w:rPr>
      <w:color w:val="800080"/>
      <w:u w:val="single"/>
    </w:rPr>
  </w:style>
  <w:style w:type="character" w:styleId="42">
    <w:name w:val="Emphasis"/>
    <w:qFormat/>
    <w:uiPriority w:val="0"/>
    <w:rPr>
      <w:color w:val="CC0000"/>
    </w:rPr>
  </w:style>
  <w:style w:type="character" w:styleId="43">
    <w:name w:val="HTML Definition"/>
    <w:qFormat/>
    <w:uiPriority w:val="0"/>
    <w:rPr>
      <w:i/>
      <w:iCs/>
    </w:rPr>
  </w:style>
  <w:style w:type="character" w:styleId="44">
    <w:name w:val="HTML Typewriter"/>
    <w:qFormat/>
    <w:uiPriority w:val="0"/>
    <w:rPr>
      <w:rFonts w:ascii="Courier New" w:hAnsi="Courier New"/>
      <w:sz w:val="20"/>
      <w:szCs w:val="20"/>
    </w:rPr>
  </w:style>
  <w:style w:type="character" w:styleId="45">
    <w:name w:val="HTML Acronym"/>
    <w:basedOn w:val="39"/>
    <w:qFormat/>
    <w:uiPriority w:val="0"/>
  </w:style>
  <w:style w:type="character" w:styleId="46">
    <w:name w:val="HTML Variable"/>
    <w:qFormat/>
    <w:uiPriority w:val="0"/>
    <w:rPr>
      <w:i/>
      <w:iCs/>
    </w:rPr>
  </w:style>
  <w:style w:type="character" w:styleId="47">
    <w:name w:val="Hyperlink"/>
    <w:qFormat/>
    <w:uiPriority w:val="99"/>
    <w:rPr>
      <w:color w:val="0000FF"/>
      <w:u w:val="single"/>
    </w:rPr>
  </w:style>
  <w:style w:type="character" w:styleId="48">
    <w:name w:val="HTML Code"/>
    <w:qFormat/>
    <w:uiPriority w:val="0"/>
    <w:rPr>
      <w:rFonts w:ascii="Courier New" w:hAnsi="Courier New"/>
      <w:sz w:val="20"/>
      <w:szCs w:val="20"/>
    </w:rPr>
  </w:style>
  <w:style w:type="character" w:styleId="49">
    <w:name w:val="annotation reference"/>
    <w:qFormat/>
    <w:uiPriority w:val="0"/>
    <w:rPr>
      <w:sz w:val="21"/>
      <w:szCs w:val="21"/>
    </w:rPr>
  </w:style>
  <w:style w:type="character" w:styleId="50">
    <w:name w:val="HTML Cite"/>
    <w:qFormat/>
    <w:uiPriority w:val="0"/>
    <w:rPr>
      <w:i/>
      <w:iCs/>
    </w:rPr>
  </w:style>
  <w:style w:type="character" w:styleId="51">
    <w:name w:val="HTML Keyboard"/>
    <w:qFormat/>
    <w:uiPriority w:val="0"/>
    <w:rPr>
      <w:rFonts w:ascii="Courier New" w:hAnsi="Courier New"/>
      <w:sz w:val="20"/>
      <w:szCs w:val="20"/>
    </w:rPr>
  </w:style>
  <w:style w:type="character" w:styleId="52">
    <w:name w:val="HTML Sample"/>
    <w:qFormat/>
    <w:uiPriority w:val="0"/>
    <w:rPr>
      <w:rFonts w:ascii="Courier New" w:hAnsi="Courier New"/>
    </w:rPr>
  </w:style>
  <w:style w:type="paragraph" w:customStyle="1" w:styleId="53">
    <w:name w:val="列项——"/>
    <w:qFormat/>
    <w:uiPriority w:val="0"/>
    <w:pPr>
      <w:widowControl w:val="0"/>
      <w:tabs>
        <w:tab w:val="left" w:pos="360"/>
      </w:tabs>
      <w:jc w:val="both"/>
    </w:pPr>
    <w:rPr>
      <w:rFonts w:ascii="宋体" w:hAnsi="Times New Roman" w:eastAsia="宋体" w:cs="Times New Roman"/>
      <w:sz w:val="21"/>
      <w:lang w:val="en-US" w:eastAsia="zh-CN" w:bidi="ar-SA"/>
    </w:rPr>
  </w:style>
  <w:style w:type="paragraph" w:customStyle="1" w:styleId="5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5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6">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7">
    <w:name w:val="封面标准号2"/>
    <w:basedOn w:val="55"/>
    <w:qFormat/>
    <w:uiPriority w:val="0"/>
    <w:pPr>
      <w:adjustRightInd w:val="0"/>
      <w:spacing w:before="357" w:line="280" w:lineRule="exact"/>
    </w:pPr>
  </w:style>
  <w:style w:type="paragraph" w:customStyle="1" w:styleId="5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9">
    <w:name w:val="二级无标题条"/>
    <w:basedOn w:val="1"/>
    <w:qFormat/>
    <w:uiPriority w:val="0"/>
  </w:style>
  <w:style w:type="paragraph" w:customStyle="1" w:styleId="60">
    <w:name w:val="表内居两端对齐"/>
    <w:basedOn w:val="61"/>
    <w:link w:val="150"/>
    <w:qFormat/>
    <w:uiPriority w:val="0"/>
    <w:pPr>
      <w:jc w:val="both"/>
    </w:pPr>
  </w:style>
  <w:style w:type="paragraph" w:customStyle="1" w:styleId="61">
    <w:name w:val="表内居中小五"/>
    <w:basedOn w:val="1"/>
    <w:link w:val="151"/>
    <w:qFormat/>
    <w:uiPriority w:val="0"/>
    <w:pPr>
      <w:jc w:val="center"/>
    </w:pPr>
    <w:rPr>
      <w:rFonts w:ascii="Calibri" w:hAnsi="Calibri"/>
      <w:kern w:val="0"/>
      <w:sz w:val="18"/>
      <w:szCs w:val="18"/>
    </w:rPr>
  </w:style>
  <w:style w:type="paragraph" w:customStyle="1" w:styleId="62">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63">
    <w:name w:val="标准书眉_偶数页"/>
    <w:basedOn w:val="64"/>
    <w:next w:val="1"/>
    <w:qFormat/>
    <w:uiPriority w:val="0"/>
    <w:pPr>
      <w:tabs>
        <w:tab w:val="center" w:pos="4154"/>
        <w:tab w:val="right" w:pos="8306"/>
      </w:tabs>
      <w:jc w:val="left"/>
    </w:pPr>
  </w:style>
  <w:style w:type="paragraph" w:customStyle="1" w:styleId="6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5">
    <w:name w:val="图表脚注"/>
    <w:next w:val="66"/>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66">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67">
    <w:name w:val="四级条标题"/>
    <w:basedOn w:val="68"/>
    <w:next w:val="66"/>
    <w:qFormat/>
    <w:uiPriority w:val="0"/>
    <w:pPr>
      <w:tabs>
        <w:tab w:val="left" w:pos="360"/>
      </w:tabs>
      <w:ind w:left="0"/>
      <w:outlineLvl w:val="5"/>
    </w:pPr>
  </w:style>
  <w:style w:type="paragraph" w:customStyle="1" w:styleId="68">
    <w:name w:val="三级条标题"/>
    <w:basedOn w:val="69"/>
    <w:next w:val="66"/>
    <w:link w:val="169"/>
    <w:qFormat/>
    <w:uiPriority w:val="0"/>
    <w:pPr>
      <w:tabs>
        <w:tab w:val="left" w:pos="360"/>
      </w:tabs>
      <w:ind w:left="-180"/>
      <w:outlineLvl w:val="4"/>
    </w:pPr>
  </w:style>
  <w:style w:type="paragraph" w:customStyle="1" w:styleId="69">
    <w:name w:val="二级条标题"/>
    <w:basedOn w:val="1"/>
    <w:next w:val="66"/>
    <w:link w:val="144"/>
    <w:qFormat/>
    <w:uiPriority w:val="0"/>
    <w:pPr>
      <w:widowControl/>
      <w:outlineLvl w:val="3"/>
    </w:pPr>
    <w:rPr>
      <w:rFonts w:ascii="黑体" w:eastAsia="黑体"/>
      <w:kern w:val="0"/>
      <w:sz w:val="20"/>
      <w:szCs w:val="20"/>
    </w:rPr>
  </w:style>
  <w:style w:type="paragraph" w:customStyle="1" w:styleId="70">
    <w:name w:val="标准书眉一"/>
    <w:qFormat/>
    <w:uiPriority w:val="0"/>
    <w:pPr>
      <w:tabs>
        <w:tab w:val="left" w:pos="1120"/>
      </w:tabs>
      <w:ind w:firstLine="400"/>
      <w:jc w:val="both"/>
    </w:pPr>
    <w:rPr>
      <w:rFonts w:ascii="Times New Roman" w:hAnsi="Times New Roman" w:eastAsia="宋体" w:cs="Times New Roman"/>
      <w:lang w:val="en-US" w:eastAsia="zh-CN" w:bidi="ar-SA"/>
    </w:rPr>
  </w:style>
  <w:style w:type="paragraph" w:customStyle="1" w:styleId="71">
    <w:name w:val="首行缩进"/>
    <w:basedOn w:val="1"/>
    <w:link w:val="175"/>
    <w:qFormat/>
    <w:uiPriority w:val="0"/>
    <w:pPr>
      <w:spacing w:line="300" w:lineRule="auto"/>
      <w:ind w:firstLine="420" w:firstLineChars="200"/>
    </w:pPr>
    <w:rPr>
      <w:rFonts w:ascii="Calibri" w:hAnsi="Calibri" w:eastAsia="方正书宋简体"/>
      <w:kern w:val="0"/>
      <w:sz w:val="20"/>
      <w:szCs w:val="20"/>
    </w:rPr>
  </w:style>
  <w:style w:type="paragraph" w:customStyle="1" w:styleId="72">
    <w:name w:val="CM5"/>
    <w:basedOn w:val="73"/>
    <w:next w:val="73"/>
    <w:uiPriority w:val="0"/>
    <w:pPr>
      <w:spacing w:line="471" w:lineRule="atLeast"/>
    </w:pPr>
    <w:rPr>
      <w:rFonts w:ascii="黑体" w:eastAsia="黑体" w:cs="Times New Roman"/>
      <w:color w:val="auto"/>
    </w:rPr>
  </w:style>
  <w:style w:type="paragraph" w:customStyle="1" w:styleId="73">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4">
    <w:name w:val="实施日期"/>
    <w:basedOn w:val="75"/>
    <w:qFormat/>
    <w:uiPriority w:val="0"/>
    <w:pPr>
      <w:jc w:val="right"/>
    </w:pPr>
  </w:style>
  <w:style w:type="paragraph" w:customStyle="1" w:styleId="75">
    <w:name w:val="发布日期"/>
    <w:uiPriority w:val="0"/>
    <w:rPr>
      <w:rFonts w:ascii="Times New Roman" w:hAnsi="Times New Roman" w:eastAsia="黑体" w:cs="Times New Roman"/>
      <w:sz w:val="28"/>
      <w:lang w:val="en-US" w:eastAsia="zh-CN" w:bidi="ar-SA"/>
    </w:rPr>
  </w:style>
  <w:style w:type="paragraph" w:customStyle="1" w:styleId="76">
    <w:name w:val="TOC 标题1"/>
    <w:basedOn w:val="2"/>
    <w:next w:val="1"/>
    <w:qFormat/>
    <w:uiPriority w:val="0"/>
    <w:pPr>
      <w:widowControl/>
      <w:snapToGrid/>
      <w:spacing w:line="276" w:lineRule="auto"/>
      <w:jc w:val="left"/>
      <w:outlineLvl w:val="9"/>
    </w:pPr>
    <w:rPr>
      <w:rFonts w:ascii="Cambria" w:hAnsi="Cambria"/>
      <w:color w:val="365F91"/>
      <w:kern w:val="0"/>
      <w:sz w:val="28"/>
      <w:szCs w:val="28"/>
    </w:rPr>
  </w:style>
  <w:style w:type="paragraph" w:customStyle="1" w:styleId="77">
    <w:name w:val="封面正文"/>
    <w:uiPriority w:val="0"/>
    <w:pPr>
      <w:jc w:val="both"/>
    </w:pPr>
    <w:rPr>
      <w:rFonts w:ascii="Times New Roman" w:hAnsi="Times New Roman" w:eastAsia="宋体" w:cs="Times New Roman"/>
      <w:lang w:val="en-US" w:eastAsia="zh-CN" w:bidi="ar-SA"/>
    </w:rPr>
  </w:style>
  <w:style w:type="paragraph" w:customStyle="1" w:styleId="78">
    <w:name w:val="列出段落1"/>
    <w:basedOn w:val="1"/>
    <w:qFormat/>
    <w:uiPriority w:val="34"/>
    <w:pPr>
      <w:ind w:firstLine="420" w:firstLineChars="200"/>
    </w:pPr>
  </w:style>
  <w:style w:type="paragraph" w:customStyle="1" w:styleId="7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80">
    <w:name w:val="附录章标题"/>
    <w:next w:val="6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1">
    <w:name w:val="一级无标题条"/>
    <w:basedOn w:val="1"/>
    <w:uiPriority w:val="0"/>
  </w:style>
  <w:style w:type="paragraph" w:customStyle="1" w:styleId="82">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3">
    <w:name w:val="数字编号列项（二级）"/>
    <w:uiPriority w:val="0"/>
    <w:pPr>
      <w:jc w:val="both"/>
    </w:pPr>
    <w:rPr>
      <w:rFonts w:ascii="宋体" w:hAnsi="Times New Roman" w:eastAsia="宋体" w:cs="Times New Roman"/>
      <w:sz w:val="21"/>
      <w:lang w:val="en-US" w:eastAsia="zh-CN" w:bidi="ar-SA"/>
    </w:rPr>
  </w:style>
  <w:style w:type="paragraph" w:customStyle="1" w:styleId="84">
    <w:name w:val="样式1"/>
    <w:basedOn w:val="5"/>
    <w:qFormat/>
    <w:uiPriority w:val="0"/>
    <w:pPr>
      <w:tabs>
        <w:tab w:val="left" w:pos="360"/>
      </w:tabs>
    </w:pPr>
    <w:rPr>
      <w:rFonts w:hAnsi="宋体"/>
      <w:bCs w:val="0"/>
    </w:rPr>
  </w:style>
  <w:style w:type="paragraph" w:customStyle="1" w:styleId="85">
    <w:name w:val="附录四级条标题"/>
    <w:basedOn w:val="86"/>
    <w:next w:val="66"/>
    <w:uiPriority w:val="0"/>
    <w:pPr>
      <w:outlineLvl w:val="5"/>
    </w:pPr>
  </w:style>
  <w:style w:type="paragraph" w:customStyle="1" w:styleId="86">
    <w:name w:val="附录三级条标题"/>
    <w:basedOn w:val="87"/>
    <w:next w:val="66"/>
    <w:qFormat/>
    <w:uiPriority w:val="0"/>
    <w:pPr>
      <w:outlineLvl w:val="4"/>
    </w:pPr>
  </w:style>
  <w:style w:type="paragraph" w:customStyle="1" w:styleId="87">
    <w:name w:val="附录二级条标题"/>
    <w:basedOn w:val="88"/>
    <w:next w:val="66"/>
    <w:uiPriority w:val="0"/>
    <w:pPr>
      <w:autoSpaceDN w:val="0"/>
      <w:outlineLvl w:val="3"/>
    </w:pPr>
  </w:style>
  <w:style w:type="paragraph" w:customStyle="1" w:styleId="88">
    <w:name w:val="附录一级条标题"/>
    <w:basedOn w:val="80"/>
    <w:next w:val="66"/>
    <w:qFormat/>
    <w:uiPriority w:val="0"/>
  </w:style>
  <w:style w:type="paragraph" w:customStyle="1" w:styleId="89">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90">
    <w:name w:val="附录标识"/>
    <w:basedOn w:val="91"/>
    <w:qFormat/>
    <w:uiPriority w:val="0"/>
  </w:style>
  <w:style w:type="paragraph" w:customStyle="1" w:styleId="91">
    <w:name w:val="前言、引言标题"/>
    <w:next w:val="1"/>
    <w:qFormat/>
    <w:uiPriority w:val="0"/>
    <w:pPr>
      <w:shd w:val="clear" w:color="FFFFFF" w:fill="FFFFFF"/>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92">
    <w:name w:val="表格内容居中正常_制度头表格"/>
    <w:uiPriority w:val="0"/>
    <w:pPr>
      <w:jc w:val="center"/>
    </w:pPr>
    <w:rPr>
      <w:rFonts w:ascii="Times New Roman" w:hAnsi="Times New Roman" w:eastAsia="宋体" w:cs="Times New Roman"/>
      <w:szCs w:val="21"/>
      <w:lang w:val="en-US" w:eastAsia="zh-CN" w:bidi="ar-SA"/>
    </w:rPr>
  </w:style>
  <w:style w:type="paragraph" w:customStyle="1" w:styleId="93">
    <w:name w:val="Char Char Char Char Char Char Char Char Char Char Char Char"/>
    <w:basedOn w:val="1"/>
    <w:qFormat/>
    <w:uiPriority w:val="0"/>
    <w:pPr>
      <w:spacing w:line="360" w:lineRule="auto"/>
    </w:pPr>
    <w:rPr>
      <w:rFonts w:ascii="Tahoma" w:hAnsi="Tahoma"/>
      <w:sz w:val="24"/>
      <w:szCs w:val="20"/>
    </w:rPr>
  </w:style>
  <w:style w:type="paragraph" w:customStyle="1" w:styleId="9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5">
    <w:name w:val="参考文献、索引标题"/>
    <w:basedOn w:val="1"/>
    <w:next w:val="1"/>
    <w:uiPriority w:val="0"/>
    <w:pPr>
      <w:widowControl/>
      <w:shd w:val="clear" w:color="FFFFFF" w:fill="FFFFFF"/>
      <w:spacing w:before="640" w:after="200"/>
      <w:jc w:val="center"/>
      <w:outlineLvl w:val="0"/>
    </w:pPr>
    <w:rPr>
      <w:rFonts w:ascii="黑体" w:eastAsia="黑体"/>
      <w:kern w:val="0"/>
      <w:szCs w:val="20"/>
    </w:rPr>
  </w:style>
  <w:style w:type="paragraph" w:customStyle="1" w:styleId="96">
    <w:name w:val="一级条标题"/>
    <w:basedOn w:val="97"/>
    <w:next w:val="66"/>
    <w:link w:val="152"/>
    <w:qFormat/>
    <w:uiPriority w:val="0"/>
    <w:pPr>
      <w:outlineLvl w:val="2"/>
    </w:pPr>
    <w:rPr>
      <w:sz w:val="20"/>
    </w:rPr>
  </w:style>
  <w:style w:type="paragraph" w:customStyle="1" w:styleId="97">
    <w:name w:val="章标题"/>
    <w:next w:val="66"/>
    <w:link w:val="179"/>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98">
    <w:name w:val="三级无标题条"/>
    <w:basedOn w:val="1"/>
    <w:uiPriority w:val="0"/>
  </w:style>
  <w:style w:type="paragraph" w:customStyle="1" w:styleId="99">
    <w:name w:val="Char"/>
    <w:basedOn w:val="1"/>
    <w:qFormat/>
    <w:uiPriority w:val="0"/>
    <w:pPr>
      <w:spacing w:line="360" w:lineRule="auto"/>
    </w:pPr>
    <w:rPr>
      <w:rFonts w:ascii="Tahoma" w:hAnsi="Tahoma"/>
      <w:sz w:val="24"/>
      <w:szCs w:val="20"/>
    </w:rPr>
  </w:style>
  <w:style w:type="paragraph" w:customStyle="1" w:styleId="100">
    <w:name w:val="注："/>
    <w:next w:val="66"/>
    <w:uiPriority w:val="0"/>
    <w:pPr>
      <w:widowControl w:val="0"/>
      <w:tabs>
        <w:tab w:val="left" w:pos="360"/>
      </w:tabs>
      <w:autoSpaceDE w:val="0"/>
      <w:autoSpaceDN w:val="0"/>
      <w:jc w:val="both"/>
    </w:pPr>
    <w:rPr>
      <w:rFonts w:ascii="宋体" w:hAnsi="Times New Roman" w:eastAsia="宋体" w:cs="Times New Roman"/>
      <w:sz w:val="18"/>
      <w:lang w:val="en-US" w:eastAsia="zh-CN" w:bidi="ar-SA"/>
    </w:rPr>
  </w:style>
  <w:style w:type="paragraph" w:customStyle="1" w:styleId="101">
    <w:name w:val="发布部门"/>
    <w:next w:val="66"/>
    <w:qFormat/>
    <w:uiPriority w:val="0"/>
    <w:pPr>
      <w:jc w:val="center"/>
    </w:pPr>
    <w:rPr>
      <w:rFonts w:ascii="宋体" w:hAnsi="Times New Roman" w:eastAsia="宋体" w:cs="Times New Roman"/>
      <w:b/>
      <w:spacing w:val="20"/>
      <w:w w:val="135"/>
      <w:sz w:val="36"/>
      <w:lang w:val="en-US" w:eastAsia="zh-CN" w:bidi="ar-SA"/>
    </w:rPr>
  </w:style>
  <w:style w:type="paragraph" w:customStyle="1" w:styleId="102">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03">
    <w:name w:val="示例"/>
    <w:next w:val="66"/>
    <w:qFormat/>
    <w:uiPriority w:val="0"/>
    <w:pPr>
      <w:tabs>
        <w:tab w:val="left" w:pos="360"/>
      </w:tabs>
      <w:jc w:val="both"/>
    </w:pPr>
    <w:rPr>
      <w:rFonts w:ascii="宋体" w:hAnsi="Times New Roman" w:eastAsia="宋体" w:cs="Times New Roman"/>
      <w:sz w:val="18"/>
      <w:lang w:val="en-US" w:eastAsia="zh-CN" w:bidi="ar-SA"/>
    </w:rPr>
  </w:style>
  <w:style w:type="paragraph" w:customStyle="1" w:styleId="104">
    <w:name w:val="CM10"/>
    <w:basedOn w:val="73"/>
    <w:next w:val="73"/>
    <w:qFormat/>
    <w:uiPriority w:val="0"/>
    <w:pPr>
      <w:spacing w:line="468" w:lineRule="atLeast"/>
    </w:pPr>
    <w:rPr>
      <w:rFonts w:ascii="黑体" w:eastAsia="黑体" w:cs="Times New Roman"/>
      <w:color w:val="auto"/>
    </w:rPr>
  </w:style>
  <w:style w:type="paragraph" w:customStyle="1" w:styleId="105">
    <w:name w:val="前言首行"/>
    <w:basedOn w:val="1"/>
    <w:uiPriority w:val="0"/>
    <w:pPr>
      <w:spacing w:after="120"/>
      <w:jc w:val="center"/>
    </w:pPr>
    <w:rPr>
      <w:rFonts w:eastAsia="黑体" w:cs="宋体"/>
      <w:b/>
      <w:bCs/>
      <w:sz w:val="32"/>
      <w:szCs w:val="20"/>
    </w:rPr>
  </w:style>
  <w:style w:type="paragraph" w:customStyle="1" w:styleId="106">
    <w:name w:val="表格内容靠左粗体_制度头表格"/>
    <w:basedOn w:val="92"/>
    <w:uiPriority w:val="0"/>
    <w:pPr>
      <w:jc w:val="both"/>
    </w:pPr>
    <w:rPr>
      <w:b/>
      <w:bCs/>
      <w:sz w:val="21"/>
    </w:rPr>
  </w:style>
  <w:style w:type="paragraph" w:customStyle="1" w:styleId="10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8">
    <w:name w:val="五级无标题条"/>
    <w:basedOn w:val="1"/>
    <w:uiPriority w:val="0"/>
  </w:style>
  <w:style w:type="paragraph" w:customStyle="1" w:styleId="109">
    <w:name w:val="CM17"/>
    <w:basedOn w:val="73"/>
    <w:next w:val="73"/>
    <w:qFormat/>
    <w:uiPriority w:val="0"/>
    <w:pPr>
      <w:spacing w:line="468" w:lineRule="atLeast"/>
    </w:pPr>
    <w:rPr>
      <w:rFonts w:ascii="黑体" w:eastAsia="黑体" w:cs="Times New Roman"/>
      <w:color w:val="auto"/>
    </w:rPr>
  </w:style>
  <w:style w:type="paragraph" w:customStyle="1" w:styleId="110">
    <w:name w:val="封面标准代替信息"/>
    <w:basedOn w:val="57"/>
    <w:qFormat/>
    <w:uiPriority w:val="0"/>
    <w:pPr>
      <w:spacing w:before="57"/>
    </w:pPr>
    <w:rPr>
      <w:rFonts w:ascii="宋体"/>
      <w:sz w:val="21"/>
    </w:rPr>
  </w:style>
  <w:style w:type="paragraph" w:customStyle="1" w:styleId="111">
    <w:name w:val="表格内容靠左正常_制度头表格"/>
    <w:uiPriority w:val="0"/>
    <w:rPr>
      <w:rFonts w:ascii="Times New Roman" w:hAnsi="Times New Roman" w:eastAsia="宋体" w:cs="Times New Roman"/>
      <w:sz w:val="21"/>
      <w:szCs w:val="21"/>
      <w:lang w:val="en-US" w:eastAsia="zh-CN" w:bidi="ar-SA"/>
    </w:rPr>
  </w:style>
  <w:style w:type="paragraph" w:customStyle="1" w:styleId="112">
    <w:name w:val="五级条标题"/>
    <w:basedOn w:val="1"/>
    <w:next w:val="66"/>
    <w:qFormat/>
    <w:uiPriority w:val="0"/>
    <w:pPr>
      <w:widowControl/>
      <w:outlineLvl w:val="6"/>
    </w:pPr>
    <w:rPr>
      <w:rFonts w:ascii="黑体" w:eastAsia="黑体"/>
      <w:kern w:val="0"/>
      <w:szCs w:val="20"/>
    </w:rPr>
  </w:style>
  <w:style w:type="paragraph" w:customStyle="1" w:styleId="113">
    <w:name w:val="附录五级条标题"/>
    <w:basedOn w:val="85"/>
    <w:next w:val="66"/>
    <w:qFormat/>
    <w:uiPriority w:val="0"/>
    <w:pPr>
      <w:outlineLvl w:val="6"/>
    </w:pPr>
  </w:style>
  <w:style w:type="paragraph" w:customStyle="1" w:styleId="114">
    <w:name w:val="正文表标题"/>
    <w:next w:val="66"/>
    <w:qFormat/>
    <w:uiPriority w:val="0"/>
    <w:pPr>
      <w:tabs>
        <w:tab w:val="left" w:pos="360"/>
        <w:tab w:val="left" w:pos="678"/>
      </w:tabs>
      <w:ind w:left="678" w:hanging="468"/>
      <w:jc w:val="center"/>
    </w:pPr>
    <w:rPr>
      <w:rFonts w:ascii="黑体" w:hAnsi="Times New Roman" w:eastAsia="黑体" w:cs="Times New Roman"/>
      <w:sz w:val="21"/>
      <w:lang w:val="en-US" w:eastAsia="zh-CN" w:bidi="ar-SA"/>
    </w:rPr>
  </w:style>
  <w:style w:type="paragraph" w:customStyle="1" w:styleId="115">
    <w:name w:val="CM3"/>
    <w:basedOn w:val="73"/>
    <w:next w:val="73"/>
    <w:qFormat/>
    <w:uiPriority w:val="0"/>
    <w:pPr>
      <w:spacing w:line="468" w:lineRule="atLeast"/>
    </w:pPr>
    <w:rPr>
      <w:rFonts w:ascii="黑体" w:eastAsia="黑体" w:cs="Times New Roman"/>
      <w:color w:val="auto"/>
    </w:rPr>
  </w:style>
  <w:style w:type="paragraph" w:customStyle="1" w:styleId="116">
    <w:name w:val="CM9"/>
    <w:basedOn w:val="73"/>
    <w:next w:val="73"/>
    <w:uiPriority w:val="0"/>
    <w:pPr>
      <w:spacing w:line="468" w:lineRule="atLeast"/>
    </w:pPr>
    <w:rPr>
      <w:rFonts w:ascii="黑体" w:eastAsia="黑体" w:cs="Times New Roman"/>
      <w:color w:val="auto"/>
    </w:rPr>
  </w:style>
  <w:style w:type="paragraph" w:customStyle="1" w:styleId="117">
    <w:name w:val="默认段落字体 Para Char"/>
    <w:basedOn w:val="1"/>
    <w:qFormat/>
    <w:uiPriority w:val="0"/>
    <w:pPr>
      <w:keepNext/>
      <w:keepLines/>
      <w:spacing w:line="360" w:lineRule="auto"/>
    </w:pPr>
    <w:rPr>
      <w:rFonts w:ascii="楷体_GB2312" w:eastAsia="楷体_GB2312"/>
      <w:sz w:val="28"/>
      <w:szCs w:val="28"/>
    </w:rPr>
  </w:style>
  <w:style w:type="paragraph" w:customStyle="1" w:styleId="118">
    <w:name w:val="目次、标准名称标题"/>
    <w:basedOn w:val="91"/>
    <w:next w:val="66"/>
    <w:qFormat/>
    <w:uiPriority w:val="0"/>
    <w:pPr>
      <w:tabs>
        <w:tab w:val="left" w:pos="1140"/>
      </w:tabs>
      <w:spacing w:line="460" w:lineRule="exact"/>
      <w:ind w:left="0" w:firstLine="0"/>
    </w:pPr>
  </w:style>
  <w:style w:type="paragraph" w:customStyle="1" w:styleId="119">
    <w:name w:val="标准书脚_偶数页"/>
    <w:uiPriority w:val="0"/>
    <w:pPr>
      <w:spacing w:before="120"/>
    </w:pPr>
    <w:rPr>
      <w:rFonts w:ascii="Times New Roman" w:hAnsi="Times New Roman" w:eastAsia="宋体" w:cs="Times New Roman"/>
      <w:sz w:val="18"/>
      <w:lang w:val="en-US" w:eastAsia="zh-CN" w:bidi="ar-SA"/>
    </w:rPr>
  </w:style>
  <w:style w:type="paragraph" w:customStyle="1" w:styleId="12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1">
    <w:name w:val="标准书脚_奇数页"/>
    <w:uiPriority w:val="0"/>
    <w:pPr>
      <w:spacing w:before="120"/>
      <w:jc w:val="right"/>
    </w:pPr>
    <w:rPr>
      <w:rFonts w:ascii="Times New Roman" w:hAnsi="Times New Roman" w:eastAsia="宋体" w:cs="Times New Roman"/>
      <w:sz w:val="18"/>
      <w:lang w:val="en-US" w:eastAsia="zh-CN" w:bidi="ar-SA"/>
    </w:rPr>
  </w:style>
  <w:style w:type="paragraph" w:customStyle="1" w:styleId="122">
    <w:name w:val="Char Char1 Char"/>
    <w:basedOn w:val="1"/>
    <w:qFormat/>
    <w:uiPriority w:val="0"/>
  </w:style>
  <w:style w:type="paragraph" w:customStyle="1" w:styleId="12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24">
    <w:name w:val="附录图标题"/>
    <w:next w:val="66"/>
    <w:uiPriority w:val="0"/>
    <w:pPr>
      <w:jc w:val="center"/>
    </w:pPr>
    <w:rPr>
      <w:rFonts w:ascii="黑体" w:hAnsi="Times New Roman" w:eastAsia="黑体" w:cs="Times New Roman"/>
      <w:sz w:val="21"/>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样式 标题 3 + 宋体"/>
    <w:basedOn w:val="4"/>
    <w:link w:val="177"/>
    <w:qFormat/>
    <w:uiPriority w:val="0"/>
    <w:rPr>
      <w:rFonts w:hAnsi="宋体"/>
      <w:bCs w:val="0"/>
      <w:kern w:val="0"/>
      <w:sz w:val="20"/>
    </w:rPr>
  </w:style>
  <w:style w:type="paragraph" w:customStyle="1" w:styleId="127">
    <w:name w:val="修订1"/>
    <w:uiPriority w:val="0"/>
    <w:rPr>
      <w:rFonts w:ascii="Times New Roman" w:hAnsi="Times New Roman" w:eastAsia="宋体" w:cs="Times New Roman"/>
      <w:kern w:val="2"/>
      <w:sz w:val="21"/>
      <w:szCs w:val="24"/>
      <w:lang w:val="en-US" w:eastAsia="zh-CN" w:bidi="ar-SA"/>
    </w:rPr>
  </w:style>
  <w:style w:type="paragraph" w:customStyle="1" w:styleId="128">
    <w:name w:val="CM22"/>
    <w:basedOn w:val="73"/>
    <w:next w:val="73"/>
    <w:qFormat/>
    <w:uiPriority w:val="0"/>
    <w:pPr>
      <w:spacing w:line="468" w:lineRule="atLeast"/>
    </w:pPr>
    <w:rPr>
      <w:rFonts w:ascii="黑体" w:eastAsia="黑体" w:cs="Times New Roman"/>
      <w:color w:val="auto"/>
    </w:rPr>
  </w:style>
  <w:style w:type="paragraph" w:customStyle="1" w:styleId="129">
    <w:name w:val="表格标题正常_制度头表格"/>
    <w:uiPriority w:val="0"/>
    <w:pPr>
      <w:jc w:val="center"/>
    </w:pPr>
    <w:rPr>
      <w:rFonts w:ascii="Times New Roman" w:hAnsi="Times New Roman" w:eastAsia="宋体" w:cs="Times New Roman"/>
      <w:sz w:val="21"/>
      <w:lang w:val="en-US" w:eastAsia="zh-CN" w:bidi="ar-SA"/>
    </w:rPr>
  </w:style>
  <w:style w:type="paragraph" w:customStyle="1" w:styleId="130">
    <w:name w:val="CM23"/>
    <w:basedOn w:val="73"/>
    <w:next w:val="73"/>
    <w:qFormat/>
    <w:uiPriority w:val="0"/>
    <w:pPr>
      <w:spacing w:line="468" w:lineRule="atLeast"/>
    </w:pPr>
    <w:rPr>
      <w:rFonts w:ascii="黑体" w:eastAsia="黑体" w:cs="Times New Roman"/>
      <w:color w:val="auto"/>
    </w:rPr>
  </w:style>
  <w:style w:type="paragraph" w:customStyle="1" w:styleId="131">
    <w:name w:val="无标题条"/>
    <w:next w:val="66"/>
    <w:qFormat/>
    <w:uiPriority w:val="0"/>
    <w:pPr>
      <w:jc w:val="both"/>
    </w:pPr>
    <w:rPr>
      <w:rFonts w:ascii="Times New Roman" w:hAnsi="Times New Roman" w:eastAsia="宋体" w:cs="Times New Roman"/>
      <w:sz w:val="21"/>
      <w:lang w:val="en-US" w:eastAsia="zh-CN" w:bidi="ar-SA"/>
    </w:rPr>
  </w:style>
  <w:style w:type="paragraph" w:customStyle="1" w:styleId="132">
    <w:name w:val="CM33"/>
    <w:basedOn w:val="73"/>
    <w:next w:val="73"/>
    <w:uiPriority w:val="0"/>
    <w:pPr>
      <w:spacing w:after="205"/>
    </w:pPr>
    <w:rPr>
      <w:rFonts w:ascii="黑体" w:eastAsia="黑体" w:cs="Times New Roman"/>
      <w:color w:val="auto"/>
    </w:rPr>
  </w:style>
  <w:style w:type="paragraph" w:customStyle="1" w:styleId="133">
    <w:name w:val="附录表标题"/>
    <w:next w:val="66"/>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134">
    <w:name w:val="Char Char Char Char Char Char Char Char Char Char Char Char1"/>
    <w:basedOn w:val="1"/>
    <w:qFormat/>
    <w:uiPriority w:val="0"/>
    <w:pPr>
      <w:spacing w:line="360" w:lineRule="auto"/>
    </w:pPr>
    <w:rPr>
      <w:rFonts w:ascii="Tahoma" w:hAnsi="Tahoma"/>
      <w:sz w:val="24"/>
      <w:szCs w:val="20"/>
    </w:rPr>
  </w:style>
  <w:style w:type="paragraph" w:customStyle="1" w:styleId="135">
    <w:name w:val="表格标题粗体_制度头表格"/>
    <w:uiPriority w:val="0"/>
    <w:pPr>
      <w:jc w:val="center"/>
    </w:pPr>
    <w:rPr>
      <w:rFonts w:ascii="Times New Roman" w:hAnsi="Times New Roman" w:eastAsia="宋体" w:cs="Times New Roman"/>
      <w:b/>
      <w:sz w:val="21"/>
      <w:szCs w:val="21"/>
      <w:lang w:val="en-US" w:eastAsia="zh-CN" w:bidi="ar-SA"/>
    </w:rPr>
  </w:style>
  <w:style w:type="paragraph" w:customStyle="1" w:styleId="136">
    <w:name w:val="样式 标题 4 + (符号) 宋体"/>
    <w:basedOn w:val="5"/>
    <w:link w:val="156"/>
    <w:qFormat/>
    <w:uiPriority w:val="0"/>
    <w:pPr>
      <w:adjustRightInd w:val="0"/>
      <w:snapToGrid w:val="0"/>
    </w:pPr>
  </w:style>
  <w:style w:type="paragraph" w:customStyle="1" w:styleId="137">
    <w:name w:val="条文脚注"/>
    <w:basedOn w:val="28"/>
    <w:qFormat/>
    <w:uiPriority w:val="0"/>
    <w:pPr>
      <w:ind w:left="780" w:leftChars="200" w:hanging="360" w:hangingChars="200"/>
      <w:jc w:val="both"/>
    </w:pPr>
    <w:rPr>
      <w:rFonts w:ascii="宋体"/>
    </w:rPr>
  </w:style>
  <w:style w:type="paragraph" w:customStyle="1" w:styleId="138">
    <w:name w:val="正文图标题"/>
    <w:next w:val="66"/>
    <w:uiPriority w:val="0"/>
    <w:pPr>
      <w:tabs>
        <w:tab w:val="left" w:pos="360"/>
      </w:tabs>
      <w:jc w:val="center"/>
    </w:pPr>
    <w:rPr>
      <w:rFonts w:ascii="黑体" w:hAnsi="Times New Roman" w:eastAsia="黑体" w:cs="Times New Roman"/>
      <w:sz w:val="21"/>
      <w:lang w:val="en-US" w:eastAsia="zh-CN" w:bidi="ar-SA"/>
    </w:rPr>
  </w:style>
  <w:style w:type="paragraph" w:customStyle="1" w:styleId="139">
    <w:name w:val="列项·"/>
    <w:qFormat/>
    <w:uiPriority w:val="0"/>
    <w:pPr>
      <w:tabs>
        <w:tab w:val="left" w:pos="360"/>
        <w:tab w:val="left" w:pos="840"/>
      </w:tabs>
      <w:jc w:val="both"/>
    </w:pPr>
    <w:rPr>
      <w:rFonts w:ascii="宋体" w:hAnsi="Times New Roman" w:eastAsia="宋体" w:cs="Times New Roman"/>
      <w:sz w:val="21"/>
      <w:lang w:val="en-US" w:eastAsia="zh-CN" w:bidi="ar-SA"/>
    </w:rPr>
  </w:style>
  <w:style w:type="paragraph" w:customStyle="1" w:styleId="140">
    <w:name w:val="样式 标题 5 + 右侧:  1 字符"/>
    <w:basedOn w:val="6"/>
    <w:qFormat/>
    <w:uiPriority w:val="0"/>
    <w:pPr>
      <w:ind w:right="210"/>
    </w:pPr>
    <w:rPr>
      <w:bCs w:val="0"/>
      <w:szCs w:val="20"/>
    </w:rPr>
  </w:style>
  <w:style w:type="paragraph" w:customStyle="1" w:styleId="141">
    <w:name w:val="表格空行_制度头表格"/>
    <w:basedOn w:val="129"/>
    <w:qFormat/>
    <w:uiPriority w:val="0"/>
    <w:pPr>
      <w:tabs>
        <w:tab w:val="left" w:pos="2960"/>
      </w:tabs>
      <w:jc w:val="both"/>
    </w:pPr>
    <w:rPr>
      <w:rFonts w:eastAsia="黑体"/>
      <w:sz w:val="11"/>
      <w:szCs w:val="30"/>
    </w:rPr>
  </w:style>
  <w:style w:type="paragraph" w:customStyle="1" w:styleId="142">
    <w:name w:val="四级无标题条"/>
    <w:basedOn w:val="1"/>
    <w:qFormat/>
    <w:uiPriority w:val="0"/>
  </w:style>
  <w:style w:type="character" w:customStyle="1" w:styleId="143">
    <w:name w:val="HTML 地址 Char"/>
    <w:link w:val="16"/>
    <w:qFormat/>
    <w:uiPriority w:val="0"/>
    <w:rPr>
      <w:rFonts w:ascii="Times New Roman" w:hAnsi="Times New Roman" w:eastAsia="宋体" w:cs="Times New Roman"/>
      <w:i/>
      <w:iCs/>
      <w:szCs w:val="24"/>
    </w:rPr>
  </w:style>
  <w:style w:type="character" w:customStyle="1" w:styleId="144">
    <w:name w:val="二级条标题 Char"/>
    <w:link w:val="69"/>
    <w:qFormat/>
    <w:uiPriority w:val="0"/>
    <w:rPr>
      <w:rFonts w:ascii="黑体" w:hAnsi="Times New Roman" w:eastAsia="黑体" w:cs="Times New Roman"/>
      <w:kern w:val="0"/>
      <w:szCs w:val="20"/>
    </w:rPr>
  </w:style>
  <w:style w:type="character" w:customStyle="1" w:styleId="145">
    <w:name w:val="发布"/>
    <w:qFormat/>
    <w:uiPriority w:val="0"/>
    <w:rPr>
      <w:rFonts w:ascii="黑体" w:eastAsia="黑体"/>
      <w:spacing w:val="22"/>
      <w:w w:val="100"/>
      <w:position w:val="3"/>
      <w:sz w:val="28"/>
    </w:rPr>
  </w:style>
  <w:style w:type="character" w:customStyle="1" w:styleId="146">
    <w:name w:val="标题 1 Char"/>
    <w:link w:val="2"/>
    <w:qFormat/>
    <w:uiPriority w:val="0"/>
    <w:rPr>
      <w:rFonts w:ascii="宋体" w:hAnsi="Times New Roman"/>
      <w:b/>
      <w:bCs/>
      <w:kern w:val="44"/>
      <w:sz w:val="21"/>
      <w:szCs w:val="21"/>
    </w:rPr>
  </w:style>
  <w:style w:type="character" w:customStyle="1" w:styleId="147">
    <w:name w:val="unnamed11"/>
    <w:uiPriority w:val="0"/>
    <w:rPr>
      <w:spacing w:val="12"/>
      <w:sz w:val="22"/>
      <w:szCs w:val="22"/>
    </w:rPr>
  </w:style>
  <w:style w:type="character" w:customStyle="1" w:styleId="148">
    <w:name w:val="HTML 预设格式 Char"/>
    <w:link w:val="34"/>
    <w:qFormat/>
    <w:uiPriority w:val="0"/>
    <w:rPr>
      <w:rFonts w:ascii="Courier New" w:hAnsi="Courier New" w:eastAsia="宋体" w:cs="Courier New"/>
      <w:sz w:val="20"/>
      <w:szCs w:val="20"/>
    </w:rPr>
  </w:style>
  <w:style w:type="character" w:customStyle="1" w:styleId="149">
    <w:name w:val="正文文本缩进 2 Char"/>
    <w:link w:val="22"/>
    <w:qFormat/>
    <w:uiPriority w:val="0"/>
    <w:rPr>
      <w:rFonts w:ascii="Times New Roman" w:hAnsi="Times New Roman" w:eastAsia="仿宋_GB2312" w:cs="Times New Roman"/>
      <w:kern w:val="0"/>
      <w:sz w:val="28"/>
      <w:szCs w:val="20"/>
    </w:rPr>
  </w:style>
  <w:style w:type="character" w:customStyle="1" w:styleId="150">
    <w:name w:val="表内居两端对齐 Char"/>
    <w:link w:val="60"/>
    <w:uiPriority w:val="0"/>
    <w:rPr>
      <w:rFonts w:cs="宋体"/>
      <w:sz w:val="18"/>
      <w:szCs w:val="18"/>
    </w:rPr>
  </w:style>
  <w:style w:type="character" w:customStyle="1" w:styleId="151">
    <w:name w:val="表内居中小五 Char"/>
    <w:link w:val="61"/>
    <w:qFormat/>
    <w:uiPriority w:val="0"/>
    <w:rPr>
      <w:rFonts w:cs="宋体"/>
      <w:sz w:val="18"/>
      <w:szCs w:val="18"/>
    </w:rPr>
  </w:style>
  <w:style w:type="character" w:customStyle="1" w:styleId="152">
    <w:name w:val="一级条标题 Char"/>
    <w:link w:val="96"/>
    <w:qFormat/>
    <w:uiPriority w:val="0"/>
    <w:rPr>
      <w:rFonts w:ascii="黑体" w:hAnsi="Times New Roman" w:eastAsia="黑体" w:cs="Times New Roman"/>
    </w:rPr>
  </w:style>
  <w:style w:type="character" w:customStyle="1" w:styleId="153">
    <w:name w:val="纯文本 Char"/>
    <w:link w:val="19"/>
    <w:uiPriority w:val="0"/>
    <w:rPr>
      <w:rFonts w:ascii="宋体" w:hAnsi="Courier New" w:eastAsia="宋体" w:cs="Times New Roman"/>
      <w:szCs w:val="24"/>
    </w:rPr>
  </w:style>
  <w:style w:type="character" w:customStyle="1" w:styleId="154">
    <w:name w:val="日期 Char"/>
    <w:link w:val="21"/>
    <w:qFormat/>
    <w:uiPriority w:val="0"/>
    <w:rPr>
      <w:rFonts w:ascii="仿宋_GB2312" w:hAnsi="Times New Roman" w:eastAsia="仿宋_GB2312" w:cs="Times New Roman"/>
      <w:kern w:val="0"/>
      <w:sz w:val="24"/>
      <w:szCs w:val="20"/>
    </w:rPr>
  </w:style>
  <w:style w:type="character" w:customStyle="1" w:styleId="155">
    <w:name w:val="标题 8 Char"/>
    <w:link w:val="9"/>
    <w:uiPriority w:val="0"/>
    <w:rPr>
      <w:rFonts w:ascii="Arial" w:hAnsi="Arial" w:eastAsia="黑体" w:cs="Times New Roman"/>
      <w:sz w:val="24"/>
      <w:szCs w:val="24"/>
    </w:rPr>
  </w:style>
  <w:style w:type="character" w:customStyle="1" w:styleId="156">
    <w:name w:val="样式 标题 4 + (符号) 宋体 Char"/>
    <w:link w:val="136"/>
    <w:qFormat/>
    <w:uiPriority w:val="0"/>
    <w:rPr>
      <w:rFonts w:ascii="宋体" w:hAnsi="Times New Roman" w:eastAsia="宋体" w:cs="Times New Roman"/>
      <w:bCs/>
      <w:szCs w:val="21"/>
    </w:rPr>
  </w:style>
  <w:style w:type="character" w:customStyle="1" w:styleId="157">
    <w:name w:val="标题 4 Char"/>
    <w:link w:val="5"/>
    <w:qFormat/>
    <w:uiPriority w:val="0"/>
    <w:rPr>
      <w:rFonts w:ascii="宋体" w:hAnsi="Times New Roman" w:eastAsia="宋体" w:cs="Times New Roman"/>
      <w:bCs/>
      <w:szCs w:val="21"/>
    </w:rPr>
  </w:style>
  <w:style w:type="character" w:customStyle="1" w:styleId="158">
    <w:name w:val="标题 9 Char"/>
    <w:link w:val="10"/>
    <w:qFormat/>
    <w:uiPriority w:val="0"/>
    <w:rPr>
      <w:rFonts w:ascii="Arial" w:hAnsi="Arial" w:eastAsia="黑体" w:cs="Times New Roman"/>
      <w:szCs w:val="21"/>
    </w:rPr>
  </w:style>
  <w:style w:type="character" w:customStyle="1" w:styleId="159">
    <w:name w:val="脚注文本 Char"/>
    <w:link w:val="28"/>
    <w:qFormat/>
    <w:uiPriority w:val="0"/>
    <w:rPr>
      <w:rFonts w:ascii="Times New Roman" w:hAnsi="Times New Roman" w:eastAsia="宋体" w:cs="Times New Roman"/>
      <w:sz w:val="18"/>
      <w:szCs w:val="18"/>
    </w:rPr>
  </w:style>
  <w:style w:type="character" w:customStyle="1" w:styleId="160">
    <w:name w:val="标题 2 Char"/>
    <w:link w:val="3"/>
    <w:qFormat/>
    <w:uiPriority w:val="0"/>
    <w:rPr>
      <w:rFonts w:ascii="宋体" w:hAnsi="Times New Roman"/>
      <w:bCs/>
      <w:kern w:val="2"/>
      <w:sz w:val="21"/>
      <w:szCs w:val="21"/>
    </w:rPr>
  </w:style>
  <w:style w:type="character" w:customStyle="1" w:styleId="161">
    <w:name w:val="标题 7 Char"/>
    <w:link w:val="8"/>
    <w:qFormat/>
    <w:uiPriority w:val="0"/>
    <w:rPr>
      <w:rFonts w:ascii="Times New Roman" w:hAnsi="Times New Roman" w:eastAsia="宋体" w:cs="Times New Roman"/>
      <w:b/>
      <w:bCs/>
      <w:sz w:val="24"/>
      <w:szCs w:val="24"/>
    </w:rPr>
  </w:style>
  <w:style w:type="character" w:customStyle="1" w:styleId="162">
    <w:name w:val="页脚 Char"/>
    <w:link w:val="24"/>
    <w:qFormat/>
    <w:uiPriority w:val="99"/>
    <w:rPr>
      <w:rFonts w:ascii="Times New Roman" w:hAnsi="Times New Roman" w:eastAsia="宋体" w:cs="Times New Roman"/>
      <w:sz w:val="18"/>
      <w:szCs w:val="18"/>
    </w:rPr>
  </w:style>
  <w:style w:type="character" w:customStyle="1" w:styleId="163">
    <w:name w:val="标题 3 Char"/>
    <w:link w:val="4"/>
    <w:uiPriority w:val="0"/>
    <w:rPr>
      <w:rFonts w:ascii="宋体" w:hAnsi="Times New Roman"/>
      <w:bCs/>
      <w:kern w:val="2"/>
      <w:sz w:val="21"/>
      <w:szCs w:val="21"/>
    </w:rPr>
  </w:style>
  <w:style w:type="character" w:customStyle="1" w:styleId="164">
    <w:name w:val="批注框文本 Char"/>
    <w:link w:val="23"/>
    <w:qFormat/>
    <w:uiPriority w:val="0"/>
    <w:rPr>
      <w:rFonts w:ascii="Times New Roman" w:hAnsi="Times New Roman" w:eastAsia="宋体" w:cs="Times New Roman"/>
      <w:sz w:val="18"/>
      <w:szCs w:val="18"/>
    </w:rPr>
  </w:style>
  <w:style w:type="character" w:customStyle="1" w:styleId="165">
    <w:name w:val="EmailStyle1391"/>
    <w:qFormat/>
    <w:uiPriority w:val="0"/>
    <w:rPr>
      <w:rFonts w:ascii="Arial" w:hAnsi="Arial" w:eastAsia="宋体" w:cs="Arial"/>
      <w:color w:val="auto"/>
      <w:sz w:val="20"/>
    </w:rPr>
  </w:style>
  <w:style w:type="character" w:customStyle="1" w:styleId="166">
    <w:name w:val="EmailStyle1381"/>
    <w:qFormat/>
    <w:uiPriority w:val="0"/>
    <w:rPr>
      <w:rFonts w:ascii="Arial" w:hAnsi="Arial" w:eastAsia="宋体" w:cs="Arial"/>
      <w:color w:val="auto"/>
      <w:sz w:val="20"/>
    </w:rPr>
  </w:style>
  <w:style w:type="character" w:customStyle="1" w:styleId="167">
    <w:name w:val="批注主题 Char"/>
    <w:link w:val="37"/>
    <w:qFormat/>
    <w:uiPriority w:val="0"/>
    <w:rPr>
      <w:rFonts w:ascii="Times New Roman" w:hAnsi="Times New Roman" w:eastAsia="宋体" w:cs="Times New Roman"/>
      <w:b/>
      <w:bCs/>
      <w:szCs w:val="24"/>
    </w:rPr>
  </w:style>
  <w:style w:type="character" w:customStyle="1" w:styleId="168">
    <w:name w:val="页眉 Char"/>
    <w:link w:val="25"/>
    <w:uiPriority w:val="0"/>
    <w:rPr>
      <w:rFonts w:ascii="Times New Roman" w:hAnsi="Times New Roman" w:eastAsia="宋体" w:cs="Times New Roman"/>
      <w:sz w:val="18"/>
      <w:szCs w:val="18"/>
    </w:rPr>
  </w:style>
  <w:style w:type="character" w:customStyle="1" w:styleId="169">
    <w:name w:val="三级条标题 Char"/>
    <w:link w:val="68"/>
    <w:qFormat/>
    <w:uiPriority w:val="0"/>
    <w:rPr>
      <w:rFonts w:ascii="黑体" w:hAnsi="Times New Roman" w:eastAsia="黑体" w:cs="Times New Roman"/>
      <w:kern w:val="0"/>
      <w:szCs w:val="20"/>
    </w:rPr>
  </w:style>
  <w:style w:type="character" w:customStyle="1" w:styleId="170">
    <w:name w:val="批注文字 Char"/>
    <w:link w:val="15"/>
    <w:qFormat/>
    <w:uiPriority w:val="0"/>
    <w:rPr>
      <w:rFonts w:ascii="Times New Roman" w:hAnsi="Times New Roman" w:eastAsia="宋体" w:cs="Times New Roman"/>
      <w:szCs w:val="24"/>
    </w:rPr>
  </w:style>
  <w:style w:type="character" w:customStyle="1" w:styleId="171">
    <w:name w:val="标题 Char"/>
    <w:link w:val="36"/>
    <w:qFormat/>
    <w:uiPriority w:val="0"/>
    <w:rPr>
      <w:rFonts w:ascii="Arial" w:hAnsi="Arial" w:eastAsia="宋体" w:cs="Arial"/>
      <w:b/>
      <w:bCs/>
      <w:sz w:val="32"/>
      <w:szCs w:val="32"/>
    </w:rPr>
  </w:style>
  <w:style w:type="character" w:customStyle="1" w:styleId="172">
    <w:name w:val="文档结构图 Char"/>
    <w:link w:val="14"/>
    <w:qFormat/>
    <w:uiPriority w:val="0"/>
    <w:rPr>
      <w:rFonts w:ascii="宋体" w:hAnsi="Times New Roman" w:eastAsia="宋体" w:cs="Times New Roman"/>
      <w:sz w:val="18"/>
      <w:szCs w:val="18"/>
    </w:rPr>
  </w:style>
  <w:style w:type="character" w:customStyle="1" w:styleId="173">
    <w:name w:val="正文缩进 Char"/>
    <w:link w:val="12"/>
    <w:qFormat/>
    <w:uiPriority w:val="0"/>
    <w:rPr>
      <w:rFonts w:ascii="Times New Roman" w:hAnsi="Times New Roman" w:eastAsia="宋体" w:cs="Times New Roman"/>
      <w:szCs w:val="24"/>
    </w:rPr>
  </w:style>
  <w:style w:type="character" w:customStyle="1" w:styleId="174">
    <w:name w:val="标题 5 Char"/>
    <w:link w:val="6"/>
    <w:qFormat/>
    <w:uiPriority w:val="0"/>
    <w:rPr>
      <w:rFonts w:ascii="Times New Roman" w:hAnsi="Times New Roman"/>
      <w:bCs/>
      <w:szCs w:val="21"/>
    </w:rPr>
  </w:style>
  <w:style w:type="character" w:customStyle="1" w:styleId="175">
    <w:name w:val="首行缩进 Char"/>
    <w:link w:val="71"/>
    <w:qFormat/>
    <w:uiPriority w:val="0"/>
    <w:rPr>
      <w:rFonts w:eastAsia="方正书宋简体" w:cs="宋体"/>
    </w:rPr>
  </w:style>
  <w:style w:type="character" w:customStyle="1" w:styleId="176">
    <w:name w:val="标题 6 Char"/>
    <w:link w:val="7"/>
    <w:qFormat/>
    <w:uiPriority w:val="0"/>
    <w:rPr>
      <w:rFonts w:ascii="Arial" w:hAnsi="Arial" w:eastAsia="黑体" w:cs="Times New Roman"/>
      <w:b/>
      <w:bCs/>
      <w:sz w:val="24"/>
      <w:szCs w:val="24"/>
    </w:rPr>
  </w:style>
  <w:style w:type="character" w:customStyle="1" w:styleId="177">
    <w:name w:val="样式 标题 3 + 宋体 Char"/>
    <w:link w:val="126"/>
    <w:qFormat/>
    <w:uiPriority w:val="0"/>
    <w:rPr>
      <w:rFonts w:ascii="宋体" w:hAnsi="宋体"/>
      <w:szCs w:val="21"/>
    </w:rPr>
  </w:style>
  <w:style w:type="character" w:customStyle="1" w:styleId="178">
    <w:name w:val="正文文本缩进 3 Char"/>
    <w:link w:val="30"/>
    <w:qFormat/>
    <w:uiPriority w:val="0"/>
    <w:rPr>
      <w:rFonts w:ascii="Times New Roman" w:hAnsi="Times New Roman" w:eastAsia="宋体" w:cs="Times New Roman"/>
      <w:sz w:val="16"/>
      <w:szCs w:val="16"/>
    </w:rPr>
  </w:style>
  <w:style w:type="character" w:customStyle="1" w:styleId="179">
    <w:name w:val="章标题 Char"/>
    <w:link w:val="97"/>
    <w:qFormat/>
    <w:uiPriority w:val="0"/>
    <w:rPr>
      <w:rFonts w:ascii="黑体" w:hAnsi="Times New Roman" w:eastAsia="黑体"/>
      <w:sz w:val="21"/>
      <w:lang w:val="en-US" w:eastAsia="zh-CN" w:bidi="ar-SA"/>
    </w:rPr>
  </w:style>
  <w:style w:type="paragraph" w:customStyle="1" w:styleId="180">
    <w:name w:val="正文1_TB"/>
    <w:basedOn w:val="1"/>
    <w:link w:val="181"/>
    <w:qFormat/>
    <w:uiPriority w:val="0"/>
    <w:pPr>
      <w:adjustRightInd w:val="0"/>
      <w:spacing w:line="320" w:lineRule="exact"/>
      <w:ind w:firstLine="420" w:firstLineChars="200"/>
      <w:jc w:val="left"/>
      <w:textAlignment w:val="baseline"/>
    </w:pPr>
    <w:rPr>
      <w:rFonts w:ascii="宋体"/>
      <w:kern w:val="0"/>
      <w:szCs w:val="20"/>
    </w:rPr>
  </w:style>
  <w:style w:type="character" w:customStyle="1" w:styleId="181">
    <w:name w:val="正文1_TB Char"/>
    <w:link w:val="180"/>
    <w:qFormat/>
    <w:uiPriority w:val="0"/>
    <w:rPr>
      <w:rFonts w:ascii="宋体" w:hAnsi="Times New Roman" w:cs="Times New Roman"/>
      <w:sz w:val="21"/>
    </w:rPr>
  </w:style>
  <w:style w:type="paragraph" w:customStyle="1" w:styleId="182">
    <w:name w:val="标准正文"/>
    <w:basedOn w:val="1"/>
    <w:link w:val="183"/>
    <w:qFormat/>
    <w:uiPriority w:val="0"/>
    <w:pPr>
      <w:spacing w:line="320" w:lineRule="exact"/>
      <w:ind w:firstLine="420" w:firstLineChars="200"/>
    </w:pPr>
  </w:style>
  <w:style w:type="character" w:customStyle="1" w:styleId="183">
    <w:name w:val="标准正文 Char"/>
    <w:link w:val="182"/>
    <w:qFormat/>
    <w:uiPriority w:val="0"/>
    <w:rPr>
      <w:rFonts w:ascii="Times New Roman" w:hAnsi="Times New Roman" w:cs="Times New Roman"/>
      <w:kern w:val="2"/>
      <w:sz w:val="21"/>
      <w:szCs w:val="24"/>
    </w:rPr>
  </w:style>
  <w:style w:type="paragraph" w:customStyle="1" w:styleId="184">
    <w:name w:val="表格名称"/>
    <w:basedOn w:val="1"/>
    <w:link w:val="185"/>
    <w:qFormat/>
    <w:uiPriority w:val="0"/>
    <w:pPr>
      <w:widowControl/>
      <w:jc w:val="center"/>
    </w:pPr>
    <w:rPr>
      <w:rFonts w:eastAsia="黑体"/>
      <w:kern w:val="0"/>
      <w:sz w:val="18"/>
      <w:szCs w:val="20"/>
    </w:rPr>
  </w:style>
  <w:style w:type="character" w:customStyle="1" w:styleId="185">
    <w:name w:val="表格名称 Char"/>
    <w:link w:val="184"/>
    <w:qFormat/>
    <w:uiPriority w:val="0"/>
    <w:rPr>
      <w:rFonts w:ascii="Times New Roman" w:hAnsi="Times New Roman" w:eastAsia="黑体" w:cs="Times New Roman"/>
      <w:sz w:val="18"/>
    </w:rPr>
  </w:style>
  <w:style w:type="paragraph" w:customStyle="1" w:styleId="186">
    <w:name w:val="标准1级标题"/>
    <w:basedOn w:val="1"/>
    <w:link w:val="187"/>
    <w:qFormat/>
    <w:uiPriority w:val="0"/>
    <w:pPr>
      <w:keepNext/>
      <w:keepLines/>
      <w:widowControl/>
      <w:spacing w:before="240" w:beforeLines="100" w:after="240" w:afterLines="100" w:line="416" w:lineRule="atLeast"/>
      <w:jc w:val="left"/>
      <w:outlineLvl w:val="0"/>
    </w:pPr>
    <w:rPr>
      <w:rFonts w:ascii="黑体" w:eastAsia="黑体" w:cs="宋体"/>
      <w:kern w:val="0"/>
      <w:szCs w:val="20"/>
    </w:rPr>
  </w:style>
  <w:style w:type="character" w:customStyle="1" w:styleId="187">
    <w:name w:val="标准1级标题 Char"/>
    <w:link w:val="186"/>
    <w:qFormat/>
    <w:uiPriority w:val="0"/>
    <w:rPr>
      <w:rFonts w:ascii="黑体" w:hAnsi="Times New Roman" w:eastAsia="黑体" w:cs="宋体"/>
      <w:sz w:val="21"/>
    </w:rPr>
  </w:style>
  <w:style w:type="paragraph" w:customStyle="1" w:styleId="188">
    <w:name w:val="标准2级标题"/>
    <w:basedOn w:val="1"/>
    <w:link w:val="189"/>
    <w:qFormat/>
    <w:uiPriority w:val="0"/>
    <w:pPr>
      <w:widowControl/>
      <w:spacing w:before="120" w:after="120"/>
      <w:jc w:val="left"/>
      <w:outlineLvl w:val="1"/>
    </w:pPr>
    <w:rPr>
      <w:rFonts w:ascii="黑体" w:eastAsia="黑体" w:cs="宋体"/>
      <w:kern w:val="0"/>
      <w:szCs w:val="20"/>
    </w:rPr>
  </w:style>
  <w:style w:type="character" w:customStyle="1" w:styleId="189">
    <w:name w:val="标准2级标题 Char"/>
    <w:link w:val="188"/>
    <w:qFormat/>
    <w:uiPriority w:val="0"/>
    <w:rPr>
      <w:rFonts w:ascii="黑体" w:hAnsi="Times New Roman" w:eastAsia="黑体" w:cs="宋体"/>
      <w:sz w:val="21"/>
    </w:rPr>
  </w:style>
  <w:style w:type="paragraph" w:customStyle="1" w:styleId="190">
    <w:name w:val="标准3级标题"/>
    <w:basedOn w:val="1"/>
    <w:link w:val="191"/>
    <w:qFormat/>
    <w:uiPriority w:val="0"/>
    <w:pPr>
      <w:widowControl/>
      <w:spacing w:before="120" w:after="120"/>
      <w:jc w:val="left"/>
      <w:outlineLvl w:val="2"/>
    </w:pPr>
    <w:rPr>
      <w:rFonts w:hAnsi="Arial" w:eastAsia="黑体" w:cs="宋体"/>
      <w:kern w:val="0"/>
      <w:szCs w:val="20"/>
    </w:rPr>
  </w:style>
  <w:style w:type="character" w:customStyle="1" w:styleId="191">
    <w:name w:val="标准3级标题 Char"/>
    <w:link w:val="190"/>
    <w:qFormat/>
    <w:uiPriority w:val="0"/>
    <w:rPr>
      <w:rFonts w:ascii="Times New Roman" w:hAnsi="Arial" w:eastAsia="黑体" w:cs="宋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24.wmf"/><Relationship Id="rId4" Type="http://schemas.openxmlformats.org/officeDocument/2006/relationships/header" Target="header2.xml"/><Relationship Id="rId39" Type="http://schemas.openxmlformats.org/officeDocument/2006/relationships/image" Target="media/image23.wmf"/><Relationship Id="rId38" Type="http://schemas.openxmlformats.org/officeDocument/2006/relationships/image" Target="media/image22.wmf"/><Relationship Id="rId37" Type="http://schemas.openxmlformats.org/officeDocument/2006/relationships/image" Target="media/image21.wmf"/><Relationship Id="rId36" Type="http://schemas.openxmlformats.org/officeDocument/2006/relationships/image" Target="media/image20.wmf"/><Relationship Id="rId35" Type="http://schemas.openxmlformats.org/officeDocument/2006/relationships/image" Target="media/image19.wmf"/><Relationship Id="rId34" Type="http://schemas.openxmlformats.org/officeDocument/2006/relationships/image" Target="media/image18.wmf"/><Relationship Id="rId33" Type="http://schemas.openxmlformats.org/officeDocument/2006/relationships/image" Target="media/image17.wmf"/><Relationship Id="rId32" Type="http://schemas.openxmlformats.org/officeDocument/2006/relationships/image" Target="media/image16.wmf"/><Relationship Id="rId31" Type="http://schemas.openxmlformats.org/officeDocument/2006/relationships/image" Target="media/image15.wmf"/><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image" Target="media/image12.wmf"/><Relationship Id="rId27" Type="http://schemas.openxmlformats.org/officeDocument/2006/relationships/image" Target="media/image11.wmf"/><Relationship Id="rId26" Type="http://schemas.openxmlformats.org/officeDocument/2006/relationships/image" Target="media/image10.wmf"/><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wmf"/><Relationship Id="rId21" Type="http://schemas.openxmlformats.org/officeDocument/2006/relationships/image" Target="media/image5.w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image" Target="media/image2.wmf"/><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33E08-80F4-4AEC-A959-21BC66B2E62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43</Pages>
  <Words>11305</Words>
  <Characters>13681</Characters>
  <Lines>621</Lines>
  <Paragraphs>640</Paragraphs>
  <TotalTime>2</TotalTime>
  <ScaleCrop>false</ScaleCrop>
  <LinksUpToDate>false</LinksUpToDate>
  <CharactersWithSpaces>24346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2015-04-19T14:35:00Z</dcterms:created>
  <dc:creator>设备部</dc:creator>
  <cp:lastModifiedBy>win10</cp:lastModifiedBy>
  <cp:lastPrinted>2011-11-02T07:43:00Z</cp:lastPrinted>
  <dcterms:modified xsi:type="dcterms:W3CDTF">2026-05-28T03:14:00Z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DD0D96C1187247D68CBC6764D08C0570</vt:lpwstr>
  </property>
</Properties>
</file>